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8FB" w:rsidRPr="00161396" w:rsidRDefault="00CF67AE" w:rsidP="00161396">
      <w:pPr>
        <w:jc w:val="center"/>
        <w:rPr>
          <w:b/>
          <w:caps/>
        </w:rPr>
      </w:pPr>
      <w:r w:rsidRPr="00161396">
        <w:rPr>
          <w:b/>
          <w:caps/>
        </w:rPr>
        <w:t>Cefet – Concurso para Engenheiro Civil – 2014</w:t>
      </w:r>
    </w:p>
    <w:p w:rsidR="00CF67AE" w:rsidRPr="00161396" w:rsidRDefault="00CF67AE" w:rsidP="00161396">
      <w:pPr>
        <w:jc w:val="center"/>
        <w:rPr>
          <w:b/>
          <w:caps/>
        </w:rPr>
      </w:pPr>
      <w:r w:rsidRPr="00161396">
        <w:rPr>
          <w:b/>
          <w:caps/>
        </w:rPr>
        <w:t>Conteúdo Programático</w:t>
      </w:r>
    </w:p>
    <w:p w:rsidR="00CF67AE" w:rsidRDefault="00CF67AE" w:rsidP="00161396"/>
    <w:p w:rsidR="00CF67AE" w:rsidRDefault="00CF67AE" w:rsidP="00161396">
      <w:pPr>
        <w:spacing w:line="240" w:lineRule="auto"/>
        <w:rPr>
          <w:rFonts w:cs="Arial"/>
        </w:rPr>
      </w:pPr>
      <w:r w:rsidRPr="00D1239B">
        <w:rPr>
          <w:rFonts w:cs="Arial"/>
          <w:b/>
        </w:rPr>
        <w:t>Topografia</w:t>
      </w:r>
      <w:r>
        <w:rPr>
          <w:rFonts w:cs="Arial"/>
          <w:b/>
        </w:rPr>
        <w:t xml:space="preserve">: </w:t>
      </w:r>
      <w:r w:rsidRPr="00D1239B">
        <w:rPr>
          <w:rFonts w:cs="Arial"/>
        </w:rPr>
        <w:t>levantamento topográfico;</w:t>
      </w:r>
      <w:r>
        <w:rPr>
          <w:rFonts w:cs="Arial"/>
        </w:rPr>
        <w:t xml:space="preserve"> </w:t>
      </w:r>
      <w:proofErr w:type="spellStart"/>
      <w:r w:rsidRPr="00D1239B">
        <w:rPr>
          <w:rFonts w:cs="Arial"/>
        </w:rPr>
        <w:t>planimetria</w:t>
      </w:r>
      <w:proofErr w:type="spellEnd"/>
      <w:r w:rsidRPr="00D1239B">
        <w:rPr>
          <w:rFonts w:cs="Arial"/>
        </w:rPr>
        <w:t>;</w:t>
      </w:r>
      <w:proofErr w:type="gramStart"/>
      <w:r w:rsidRPr="00D1239B">
        <w:rPr>
          <w:rFonts w:cs="Arial"/>
        </w:rPr>
        <w:t xml:space="preserve"> </w:t>
      </w:r>
      <w:r>
        <w:rPr>
          <w:rFonts w:cs="Arial"/>
        </w:rPr>
        <w:t xml:space="preserve"> </w:t>
      </w:r>
      <w:proofErr w:type="gramEnd"/>
      <w:r w:rsidRPr="00D1239B">
        <w:rPr>
          <w:rFonts w:cs="Arial"/>
        </w:rPr>
        <w:t>altimetria;</w:t>
      </w:r>
      <w:r>
        <w:rPr>
          <w:rFonts w:cs="Arial"/>
        </w:rPr>
        <w:t xml:space="preserve"> </w:t>
      </w:r>
      <w:r w:rsidRPr="00D1239B">
        <w:rPr>
          <w:rFonts w:cs="Arial"/>
        </w:rPr>
        <w:t>instrumentos topográficos;</w:t>
      </w:r>
      <w:r>
        <w:rPr>
          <w:rFonts w:cs="Arial"/>
        </w:rPr>
        <w:t xml:space="preserve"> </w:t>
      </w:r>
      <w:r w:rsidRPr="00D1239B">
        <w:rPr>
          <w:rFonts w:cs="Arial"/>
        </w:rPr>
        <w:t>ângulos e direções;</w:t>
      </w:r>
      <w:r>
        <w:rPr>
          <w:rFonts w:cs="Arial"/>
        </w:rPr>
        <w:t xml:space="preserve"> </w:t>
      </w:r>
      <w:r w:rsidRPr="00D1239B">
        <w:rPr>
          <w:rFonts w:cs="Arial"/>
        </w:rPr>
        <w:t xml:space="preserve">medições de ângulos e distâncias; desenho topográfico; escalas; </w:t>
      </w:r>
      <w:r>
        <w:rPr>
          <w:rFonts w:cs="Arial"/>
        </w:rPr>
        <w:t xml:space="preserve"> </w:t>
      </w:r>
      <w:r w:rsidRPr="00D1239B">
        <w:rPr>
          <w:rFonts w:cs="Arial"/>
        </w:rPr>
        <w:t>curvas de nível; poligonais;</w:t>
      </w:r>
      <w:r>
        <w:rPr>
          <w:rFonts w:cs="Arial"/>
        </w:rPr>
        <w:t xml:space="preserve"> cálculo de áreas e volumes.</w:t>
      </w:r>
    </w:p>
    <w:p w:rsidR="00CF67AE" w:rsidRDefault="00CF67AE" w:rsidP="00161396">
      <w:pPr>
        <w:spacing w:line="240" w:lineRule="auto"/>
        <w:rPr>
          <w:rFonts w:cs="Arial"/>
        </w:rPr>
      </w:pPr>
    </w:p>
    <w:p w:rsidR="00CF67AE" w:rsidRDefault="00CF67AE" w:rsidP="00161396">
      <w:pPr>
        <w:spacing w:line="240" w:lineRule="auto"/>
        <w:rPr>
          <w:rFonts w:cs="Arial"/>
        </w:rPr>
      </w:pPr>
      <w:r>
        <w:rPr>
          <w:rFonts w:cs="Arial"/>
          <w:b/>
        </w:rPr>
        <w:t xml:space="preserve">Arruamento e pavimentação: </w:t>
      </w:r>
      <w:r>
        <w:rPr>
          <w:rFonts w:cs="Arial"/>
        </w:rPr>
        <w:t>tipos, especificação, e ensaios; calçamentos (paralelepípedos, blocos de concreto, pré-moldados, articulados); processo construtivo e controles tecnológicos; vistoria, recuperação e conservação de calçamentos e pavimentos.</w:t>
      </w:r>
    </w:p>
    <w:p w:rsidR="00CF67AE" w:rsidRDefault="00CF67AE" w:rsidP="00161396">
      <w:pPr>
        <w:spacing w:line="240" w:lineRule="auto"/>
        <w:rPr>
          <w:rFonts w:cs="Arial"/>
        </w:rPr>
      </w:pPr>
    </w:p>
    <w:p w:rsidR="00CF67AE" w:rsidRDefault="00CF67AE" w:rsidP="00161396">
      <w:pPr>
        <w:spacing w:line="240" w:lineRule="auto"/>
        <w:rPr>
          <w:rFonts w:cs="Arial"/>
        </w:rPr>
      </w:pPr>
      <w:r w:rsidRPr="00D1239B">
        <w:rPr>
          <w:rFonts w:cs="Arial"/>
          <w:b/>
        </w:rPr>
        <w:t>Movimentos de terra</w:t>
      </w:r>
      <w:r>
        <w:rPr>
          <w:rFonts w:cs="Arial"/>
          <w:b/>
        </w:rPr>
        <w:t xml:space="preserve">: </w:t>
      </w:r>
      <w:r w:rsidRPr="00D1239B">
        <w:rPr>
          <w:rFonts w:cs="Arial"/>
        </w:rPr>
        <w:t>cortes;</w:t>
      </w:r>
      <w:r>
        <w:rPr>
          <w:rFonts w:cs="Arial"/>
        </w:rPr>
        <w:t xml:space="preserve"> </w:t>
      </w:r>
      <w:r w:rsidRPr="00D1239B">
        <w:rPr>
          <w:rFonts w:cs="Arial"/>
        </w:rPr>
        <w:t>aterros; estabilidade de taludes;</w:t>
      </w:r>
      <w:r>
        <w:rPr>
          <w:rFonts w:cs="Arial"/>
        </w:rPr>
        <w:t xml:space="preserve"> </w:t>
      </w:r>
      <w:r w:rsidRPr="00D1239B">
        <w:rPr>
          <w:rFonts w:cs="Arial"/>
        </w:rPr>
        <w:t>escavações;</w:t>
      </w:r>
      <w:r>
        <w:rPr>
          <w:rFonts w:cs="Arial"/>
        </w:rPr>
        <w:t xml:space="preserve"> </w:t>
      </w:r>
      <w:r w:rsidRPr="00D1239B">
        <w:rPr>
          <w:rFonts w:cs="Arial"/>
        </w:rPr>
        <w:t>escoramentos;</w:t>
      </w:r>
      <w:r>
        <w:rPr>
          <w:rFonts w:cs="Arial"/>
        </w:rPr>
        <w:t xml:space="preserve"> </w:t>
      </w:r>
      <w:r w:rsidRPr="00D1239B">
        <w:rPr>
          <w:rFonts w:cs="Arial"/>
        </w:rPr>
        <w:t>rebaixamento do nível d’água</w:t>
      </w:r>
      <w:r>
        <w:rPr>
          <w:rFonts w:cs="Arial"/>
        </w:rPr>
        <w:t xml:space="preserve">; </w:t>
      </w:r>
      <w:r w:rsidRPr="00D1239B">
        <w:rPr>
          <w:rFonts w:cs="Arial"/>
        </w:rPr>
        <w:t>cálculos de áreas e volumes;</w:t>
      </w:r>
      <w:proofErr w:type="gramStart"/>
      <w:r w:rsidRPr="00D1239B">
        <w:rPr>
          <w:rFonts w:cs="Arial"/>
        </w:rPr>
        <w:t xml:space="preserve"> </w:t>
      </w:r>
      <w:r>
        <w:rPr>
          <w:rFonts w:cs="Arial"/>
        </w:rPr>
        <w:t xml:space="preserve"> </w:t>
      </w:r>
      <w:proofErr w:type="gramEnd"/>
      <w:r w:rsidRPr="00D1239B">
        <w:rPr>
          <w:rFonts w:cs="Arial"/>
        </w:rPr>
        <w:t>movimentação de material;</w:t>
      </w:r>
      <w:r>
        <w:rPr>
          <w:rFonts w:cs="Arial"/>
        </w:rPr>
        <w:t xml:space="preserve"> </w:t>
      </w:r>
      <w:r w:rsidRPr="00D1239B">
        <w:rPr>
          <w:rFonts w:cs="Arial"/>
        </w:rPr>
        <w:t>terraplanagem;</w:t>
      </w:r>
      <w:r>
        <w:rPr>
          <w:rFonts w:cs="Arial"/>
        </w:rPr>
        <w:t xml:space="preserve"> máquinas e equipamentos.</w:t>
      </w:r>
    </w:p>
    <w:p w:rsidR="00CF67AE" w:rsidRDefault="00CF67AE" w:rsidP="00161396">
      <w:pPr>
        <w:spacing w:line="240" w:lineRule="auto"/>
        <w:rPr>
          <w:rFonts w:cs="Arial"/>
        </w:rPr>
      </w:pPr>
    </w:p>
    <w:p w:rsidR="00CF67AE" w:rsidRDefault="00CF67AE" w:rsidP="00161396">
      <w:pPr>
        <w:spacing w:line="240" w:lineRule="auto"/>
        <w:rPr>
          <w:rFonts w:cs="Arial"/>
        </w:rPr>
      </w:pPr>
      <w:proofErr w:type="spellStart"/>
      <w:r w:rsidRPr="00D1239B">
        <w:rPr>
          <w:rFonts w:cs="Arial"/>
          <w:b/>
        </w:rPr>
        <w:t>Geot</w:t>
      </w:r>
      <w:r w:rsidR="00356728">
        <w:rPr>
          <w:rFonts w:cs="Arial"/>
          <w:b/>
        </w:rPr>
        <w:t>e</w:t>
      </w:r>
      <w:r w:rsidRPr="00D1239B">
        <w:rPr>
          <w:rFonts w:cs="Arial"/>
          <w:b/>
        </w:rPr>
        <w:t>cnia</w:t>
      </w:r>
      <w:proofErr w:type="spellEnd"/>
      <w:r w:rsidRPr="00D1239B">
        <w:rPr>
          <w:rFonts w:cs="Arial"/>
          <w:b/>
        </w:rPr>
        <w:t xml:space="preserve"> e Mecânica dos solos</w:t>
      </w:r>
      <w:r>
        <w:rPr>
          <w:rFonts w:cs="Arial"/>
          <w:b/>
        </w:rPr>
        <w:t xml:space="preserve">: </w:t>
      </w:r>
      <w:r w:rsidRPr="00D1239B">
        <w:rPr>
          <w:rFonts w:cs="Arial"/>
        </w:rPr>
        <w:t>Origem e formação dos solos; estruturas, características, propriedades e classificação dos solos; índices físicos; limites e índices de consistência;</w:t>
      </w:r>
      <w:r>
        <w:rPr>
          <w:rFonts w:cs="Arial"/>
        </w:rPr>
        <w:t xml:space="preserve"> </w:t>
      </w:r>
      <w:r w:rsidRPr="00D1239B">
        <w:rPr>
          <w:rFonts w:cs="Arial"/>
        </w:rPr>
        <w:t>compressibilidade; compacidade; adensamento; resistência ao cisalhamento; movimento de água nos solos;</w:t>
      </w:r>
      <w:r>
        <w:rPr>
          <w:rFonts w:cs="Arial"/>
        </w:rPr>
        <w:t xml:space="preserve"> </w:t>
      </w:r>
      <w:r w:rsidRPr="00D1239B">
        <w:rPr>
          <w:rFonts w:cs="Arial"/>
        </w:rPr>
        <w:t>permeabilidade; percolação;</w:t>
      </w:r>
      <w:r>
        <w:rPr>
          <w:rFonts w:cs="Arial"/>
        </w:rPr>
        <w:t xml:space="preserve"> </w:t>
      </w:r>
      <w:r w:rsidRPr="00D1239B">
        <w:rPr>
          <w:rFonts w:cs="Arial"/>
        </w:rPr>
        <w:t>capilaridade;</w:t>
      </w:r>
      <w:r>
        <w:rPr>
          <w:rFonts w:cs="Arial"/>
        </w:rPr>
        <w:t xml:space="preserve"> </w:t>
      </w:r>
      <w:r w:rsidRPr="00D1239B">
        <w:rPr>
          <w:rFonts w:cs="Arial"/>
        </w:rPr>
        <w:t>compactação;</w:t>
      </w:r>
      <w:r>
        <w:rPr>
          <w:rFonts w:cs="Arial"/>
        </w:rPr>
        <w:t xml:space="preserve"> </w:t>
      </w:r>
      <w:r w:rsidRPr="00D1239B">
        <w:rPr>
          <w:rFonts w:cs="Arial"/>
        </w:rPr>
        <w:t>empuxo de terra;</w:t>
      </w:r>
      <w:r>
        <w:rPr>
          <w:rFonts w:cs="Arial"/>
        </w:rPr>
        <w:t xml:space="preserve"> </w:t>
      </w:r>
      <w:r w:rsidRPr="00D1239B">
        <w:rPr>
          <w:rFonts w:cs="Arial"/>
        </w:rPr>
        <w:t>adensamento;</w:t>
      </w:r>
      <w:r>
        <w:rPr>
          <w:rFonts w:cs="Arial"/>
        </w:rPr>
        <w:t xml:space="preserve"> </w:t>
      </w:r>
      <w:r w:rsidRPr="00D1239B">
        <w:rPr>
          <w:rFonts w:cs="Arial"/>
        </w:rPr>
        <w:t>ruptura;</w:t>
      </w:r>
      <w:r>
        <w:rPr>
          <w:rFonts w:cs="Arial"/>
        </w:rPr>
        <w:t xml:space="preserve"> </w:t>
      </w:r>
      <w:r w:rsidRPr="00D1239B">
        <w:rPr>
          <w:rFonts w:cs="Arial"/>
        </w:rPr>
        <w:t>recalques;</w:t>
      </w:r>
      <w:r>
        <w:rPr>
          <w:rFonts w:cs="Arial"/>
        </w:rPr>
        <w:t xml:space="preserve"> </w:t>
      </w:r>
      <w:r w:rsidRPr="00D1239B">
        <w:rPr>
          <w:rFonts w:cs="Arial"/>
        </w:rPr>
        <w:t>investigações geotécnicas do subsolo;</w:t>
      </w:r>
      <w:r>
        <w:rPr>
          <w:rFonts w:cs="Arial"/>
        </w:rPr>
        <w:t xml:space="preserve"> </w:t>
      </w:r>
      <w:r w:rsidRPr="00D1239B">
        <w:rPr>
          <w:rFonts w:cs="Arial"/>
        </w:rPr>
        <w:t>sondagens;</w:t>
      </w:r>
      <w:proofErr w:type="gramStart"/>
      <w:r w:rsidRPr="00D1239B">
        <w:rPr>
          <w:rFonts w:cs="Arial"/>
        </w:rPr>
        <w:t xml:space="preserve"> </w:t>
      </w:r>
      <w:r>
        <w:rPr>
          <w:rFonts w:cs="Arial"/>
        </w:rPr>
        <w:t xml:space="preserve"> </w:t>
      </w:r>
      <w:proofErr w:type="gramEnd"/>
      <w:r w:rsidRPr="00D1239B">
        <w:rPr>
          <w:rFonts w:cs="Arial"/>
        </w:rPr>
        <w:t>caracterização dos solos;</w:t>
      </w:r>
      <w:r>
        <w:rPr>
          <w:rFonts w:cs="Arial"/>
        </w:rPr>
        <w:t xml:space="preserve"> </w:t>
      </w:r>
      <w:r w:rsidRPr="00D1239B">
        <w:rPr>
          <w:rFonts w:cs="Arial"/>
        </w:rPr>
        <w:t>ensaios de caracterização;</w:t>
      </w:r>
      <w:r>
        <w:rPr>
          <w:rFonts w:cs="Arial"/>
        </w:rPr>
        <w:t xml:space="preserve"> controle tecnológico de solos.</w:t>
      </w:r>
    </w:p>
    <w:p w:rsidR="00CF67AE" w:rsidRDefault="00CF67AE" w:rsidP="00161396">
      <w:pPr>
        <w:spacing w:line="240" w:lineRule="auto"/>
        <w:rPr>
          <w:rFonts w:cs="Arial"/>
        </w:rPr>
      </w:pPr>
    </w:p>
    <w:p w:rsidR="00CF67AE" w:rsidRDefault="00CF67AE" w:rsidP="00161396">
      <w:pPr>
        <w:spacing w:line="240" w:lineRule="auto"/>
        <w:rPr>
          <w:rFonts w:cs="Arial"/>
        </w:rPr>
      </w:pPr>
      <w:r w:rsidRPr="00D1239B">
        <w:rPr>
          <w:rFonts w:cs="Arial"/>
          <w:b/>
        </w:rPr>
        <w:t>Projetos de arquitetura, fundações, estruturas e instalações</w:t>
      </w:r>
      <w:r>
        <w:rPr>
          <w:rFonts w:cs="Arial"/>
          <w:b/>
        </w:rPr>
        <w:t xml:space="preserve"> prediais: </w:t>
      </w:r>
      <w:r w:rsidRPr="00D1239B">
        <w:rPr>
          <w:rFonts w:cs="Arial"/>
        </w:rPr>
        <w:t xml:space="preserve">Interpretação, representação, detalhamento e desenvolvimento de projetos; escalas; </w:t>
      </w:r>
      <w:proofErr w:type="spellStart"/>
      <w:r w:rsidRPr="00D1239B">
        <w:rPr>
          <w:rFonts w:cs="Arial"/>
        </w:rPr>
        <w:t>cotagem</w:t>
      </w:r>
      <w:proofErr w:type="spellEnd"/>
      <w:r w:rsidRPr="00D1239B">
        <w:rPr>
          <w:rFonts w:cs="Arial"/>
        </w:rPr>
        <w:t>; simbo</w:t>
      </w:r>
      <w:r>
        <w:rPr>
          <w:rFonts w:cs="Arial"/>
        </w:rPr>
        <w:t>logia e representações gráficas.</w:t>
      </w:r>
    </w:p>
    <w:p w:rsidR="00CF67AE" w:rsidRDefault="00CF67AE" w:rsidP="00161396">
      <w:pPr>
        <w:spacing w:line="240" w:lineRule="auto"/>
        <w:rPr>
          <w:rFonts w:cs="Arial"/>
        </w:rPr>
      </w:pPr>
    </w:p>
    <w:p w:rsidR="00CF67AE" w:rsidRDefault="00CF67AE" w:rsidP="00161396">
      <w:pPr>
        <w:spacing w:line="240" w:lineRule="auto"/>
        <w:rPr>
          <w:rFonts w:cs="Arial"/>
        </w:rPr>
      </w:pPr>
    </w:p>
    <w:p w:rsidR="00CF67AE" w:rsidRDefault="00CF67AE" w:rsidP="00161396">
      <w:pPr>
        <w:spacing w:line="240" w:lineRule="auto"/>
        <w:rPr>
          <w:rFonts w:cs="Arial"/>
        </w:rPr>
      </w:pPr>
      <w:r w:rsidRPr="00D1239B">
        <w:rPr>
          <w:rFonts w:cs="Arial"/>
          <w:b/>
        </w:rPr>
        <w:t>Técnicas de construção</w:t>
      </w:r>
      <w:r>
        <w:rPr>
          <w:rFonts w:cs="Arial"/>
        </w:rPr>
        <w:t xml:space="preserve">: </w:t>
      </w:r>
      <w:r w:rsidRPr="00D1239B">
        <w:rPr>
          <w:rFonts w:cs="Arial"/>
        </w:rPr>
        <w:t>serviços preliminares;</w:t>
      </w:r>
      <w:r>
        <w:rPr>
          <w:rFonts w:cs="Arial"/>
        </w:rPr>
        <w:t xml:space="preserve"> </w:t>
      </w:r>
      <w:r w:rsidRPr="00D1239B">
        <w:rPr>
          <w:rFonts w:cs="Arial"/>
        </w:rPr>
        <w:t>levantamentos topográficos;</w:t>
      </w:r>
      <w:r>
        <w:rPr>
          <w:rFonts w:cs="Arial"/>
        </w:rPr>
        <w:t xml:space="preserve"> </w:t>
      </w:r>
      <w:r w:rsidRPr="00D1239B">
        <w:rPr>
          <w:rFonts w:cs="Arial"/>
        </w:rPr>
        <w:t>estudos geotécnicos;</w:t>
      </w:r>
      <w:r>
        <w:rPr>
          <w:rFonts w:cs="Arial"/>
        </w:rPr>
        <w:t xml:space="preserve"> </w:t>
      </w:r>
      <w:r w:rsidRPr="00D1239B">
        <w:rPr>
          <w:rFonts w:cs="Arial"/>
        </w:rPr>
        <w:t>instalações provisórias;</w:t>
      </w:r>
      <w:r>
        <w:rPr>
          <w:rFonts w:cs="Arial"/>
        </w:rPr>
        <w:t xml:space="preserve"> </w:t>
      </w:r>
      <w:r w:rsidRPr="00D1239B">
        <w:rPr>
          <w:rFonts w:cs="Arial"/>
        </w:rPr>
        <w:t>canteiro de obras;</w:t>
      </w:r>
      <w:proofErr w:type="gramStart"/>
      <w:r w:rsidRPr="00D1239B">
        <w:rPr>
          <w:rFonts w:cs="Arial"/>
        </w:rPr>
        <w:t xml:space="preserve"> </w:t>
      </w:r>
      <w:r>
        <w:rPr>
          <w:rFonts w:cs="Arial"/>
        </w:rPr>
        <w:t xml:space="preserve"> </w:t>
      </w:r>
      <w:proofErr w:type="gramEnd"/>
      <w:r w:rsidRPr="00D1239B">
        <w:rPr>
          <w:rFonts w:cs="Arial"/>
        </w:rPr>
        <w:t>depósito e armazenamento de materiais; locação de obras; movimento de terra; escavações; fundações; formas; armação; concreto; estruturas; alvenarias; coberturas; revestimentos; pisos e pavimentações; impermeabilizações; esquadrias; ferragens; vidros;</w:t>
      </w:r>
      <w:r>
        <w:rPr>
          <w:rFonts w:cs="Arial"/>
        </w:rPr>
        <w:t xml:space="preserve"> </w:t>
      </w:r>
      <w:r w:rsidRPr="00D1239B">
        <w:rPr>
          <w:rFonts w:cs="Arial"/>
        </w:rPr>
        <w:t>pinturas; máquinas, equipamentos e ferramentas.</w:t>
      </w:r>
    </w:p>
    <w:p w:rsidR="00CF67AE" w:rsidRDefault="00CF67AE" w:rsidP="00161396">
      <w:pPr>
        <w:spacing w:line="240" w:lineRule="auto"/>
        <w:rPr>
          <w:rFonts w:cs="Arial"/>
          <w:b/>
        </w:rPr>
      </w:pPr>
    </w:p>
    <w:p w:rsidR="00CF67AE" w:rsidRPr="00D1239B" w:rsidRDefault="00CF67AE" w:rsidP="00161396">
      <w:pPr>
        <w:spacing w:line="240" w:lineRule="auto"/>
        <w:rPr>
          <w:rFonts w:cs="Arial"/>
          <w:b/>
        </w:rPr>
      </w:pPr>
      <w:r w:rsidRPr="00D1239B">
        <w:rPr>
          <w:rFonts w:cs="Arial"/>
          <w:b/>
        </w:rPr>
        <w:t>Materiais de construção</w:t>
      </w:r>
      <w:r>
        <w:rPr>
          <w:rFonts w:cs="Arial"/>
          <w:b/>
        </w:rPr>
        <w:t xml:space="preserve">: </w:t>
      </w:r>
      <w:r w:rsidRPr="00D1239B">
        <w:rPr>
          <w:rFonts w:cs="Arial"/>
        </w:rPr>
        <w:t>Propriedades gerais, características, dosagens, ensaios e controle tecnológico; aglomerantes; agregados; argamassas;</w:t>
      </w:r>
      <w:r>
        <w:rPr>
          <w:rFonts w:cs="Arial"/>
        </w:rPr>
        <w:t xml:space="preserve"> </w:t>
      </w:r>
      <w:r w:rsidRPr="00D1239B">
        <w:rPr>
          <w:rFonts w:cs="Arial"/>
        </w:rPr>
        <w:t xml:space="preserve">concretos; </w:t>
      </w:r>
      <w:r w:rsidRPr="009D2A15">
        <w:rPr>
          <w:rFonts w:cs="Arial"/>
        </w:rPr>
        <w:t>aditivos para argamassas e concretos</w:t>
      </w:r>
      <w:r>
        <w:rPr>
          <w:rFonts w:cs="Arial"/>
        </w:rPr>
        <w:t xml:space="preserve">; </w:t>
      </w:r>
      <w:r w:rsidRPr="00D1239B">
        <w:rPr>
          <w:rFonts w:cs="Arial"/>
        </w:rPr>
        <w:t>aço;</w:t>
      </w:r>
      <w:r>
        <w:rPr>
          <w:rFonts w:cs="Arial"/>
        </w:rPr>
        <w:t xml:space="preserve"> </w:t>
      </w:r>
      <w:r w:rsidRPr="00D1239B">
        <w:rPr>
          <w:rFonts w:cs="Arial"/>
        </w:rPr>
        <w:t>madeira; materiais cerâmicos; materiais betuminosos;</w:t>
      </w:r>
      <w:r>
        <w:rPr>
          <w:rFonts w:cs="Arial"/>
        </w:rPr>
        <w:t xml:space="preserve"> </w:t>
      </w:r>
      <w:r w:rsidRPr="00D1239B">
        <w:rPr>
          <w:rFonts w:cs="Arial"/>
        </w:rPr>
        <w:t>vidros; tintas e vernizes</w:t>
      </w:r>
      <w:r>
        <w:rPr>
          <w:rFonts w:cs="Arial"/>
        </w:rPr>
        <w:t xml:space="preserve">; novos materiais de construção (gesso </w:t>
      </w:r>
      <w:proofErr w:type="spellStart"/>
      <w:r>
        <w:rPr>
          <w:rFonts w:cs="Arial"/>
        </w:rPr>
        <w:t>acartonado</w:t>
      </w:r>
      <w:proofErr w:type="spellEnd"/>
      <w:r>
        <w:rPr>
          <w:rFonts w:cs="Arial"/>
        </w:rPr>
        <w:t>, policarbonato, etc.</w:t>
      </w:r>
      <w:proofErr w:type="gramStart"/>
      <w:r>
        <w:rPr>
          <w:rFonts w:cs="Arial"/>
        </w:rPr>
        <w:t>)</w:t>
      </w:r>
      <w:proofErr w:type="gramEnd"/>
    </w:p>
    <w:p w:rsidR="00CF67AE" w:rsidRDefault="00CF67AE" w:rsidP="00161396">
      <w:pPr>
        <w:spacing w:line="240" w:lineRule="auto"/>
        <w:rPr>
          <w:rFonts w:cs="Arial"/>
        </w:rPr>
      </w:pPr>
    </w:p>
    <w:p w:rsidR="00CF67AE" w:rsidRDefault="00CF67AE" w:rsidP="00161396">
      <w:pPr>
        <w:spacing w:line="240" w:lineRule="auto"/>
        <w:rPr>
          <w:rFonts w:cs="Arial"/>
        </w:rPr>
      </w:pPr>
      <w:r>
        <w:rPr>
          <w:rFonts w:cs="Arial"/>
          <w:b/>
        </w:rPr>
        <w:t>O</w:t>
      </w:r>
      <w:r w:rsidRPr="00D1239B">
        <w:rPr>
          <w:rFonts w:cs="Arial"/>
          <w:b/>
        </w:rPr>
        <w:t>rçamento de obras e serviços</w:t>
      </w:r>
      <w:r>
        <w:rPr>
          <w:rFonts w:cs="Arial"/>
          <w:b/>
        </w:rPr>
        <w:t xml:space="preserve">: </w:t>
      </w:r>
      <w:r w:rsidRPr="00D1239B">
        <w:rPr>
          <w:rFonts w:cs="Arial"/>
        </w:rPr>
        <w:t xml:space="preserve">orçamentação (atributos, enfoques, </w:t>
      </w:r>
      <w:r>
        <w:rPr>
          <w:rFonts w:cs="Arial"/>
        </w:rPr>
        <w:t>e</w:t>
      </w:r>
      <w:r w:rsidRPr="00D1239B">
        <w:rPr>
          <w:rFonts w:cs="Arial"/>
        </w:rPr>
        <w:t>tapas);</w:t>
      </w:r>
      <w:r>
        <w:rPr>
          <w:rFonts w:cs="Arial"/>
        </w:rPr>
        <w:t xml:space="preserve"> </w:t>
      </w:r>
      <w:r w:rsidRPr="00D1239B">
        <w:rPr>
          <w:rFonts w:cs="Arial"/>
        </w:rPr>
        <w:t>graus de orçamento;</w:t>
      </w:r>
      <w:r>
        <w:rPr>
          <w:rFonts w:cs="Arial"/>
        </w:rPr>
        <w:t xml:space="preserve"> </w:t>
      </w:r>
      <w:r w:rsidRPr="00D1239B">
        <w:rPr>
          <w:rFonts w:cs="Arial"/>
        </w:rPr>
        <w:t>levantamento de quantidades;</w:t>
      </w:r>
      <w:r>
        <w:rPr>
          <w:rFonts w:cs="Arial"/>
        </w:rPr>
        <w:t xml:space="preserve"> </w:t>
      </w:r>
      <w:r w:rsidRPr="00D1239B">
        <w:rPr>
          <w:rFonts w:cs="Arial"/>
        </w:rPr>
        <w:t>composição de custos;</w:t>
      </w:r>
      <w:r>
        <w:rPr>
          <w:rFonts w:cs="Arial"/>
        </w:rPr>
        <w:t xml:space="preserve"> </w:t>
      </w:r>
      <w:r w:rsidRPr="00D1239B">
        <w:rPr>
          <w:rFonts w:cs="Arial"/>
        </w:rPr>
        <w:t>custos de mão de obra, materiais, ferramentas e equipamentos;</w:t>
      </w:r>
      <w:r>
        <w:rPr>
          <w:rFonts w:cs="Arial"/>
        </w:rPr>
        <w:t xml:space="preserve"> </w:t>
      </w:r>
      <w:r w:rsidRPr="00D1239B">
        <w:rPr>
          <w:rFonts w:cs="Arial"/>
        </w:rPr>
        <w:t>curva ABC;</w:t>
      </w:r>
      <w:r>
        <w:rPr>
          <w:rFonts w:cs="Arial"/>
        </w:rPr>
        <w:t xml:space="preserve"> </w:t>
      </w:r>
      <w:r w:rsidRPr="00D1239B">
        <w:rPr>
          <w:rFonts w:cs="Arial"/>
        </w:rPr>
        <w:t>custos diretos e indiretos;</w:t>
      </w:r>
      <w:r>
        <w:rPr>
          <w:rFonts w:cs="Arial"/>
        </w:rPr>
        <w:t xml:space="preserve"> </w:t>
      </w:r>
      <w:r w:rsidRPr="00D1239B">
        <w:rPr>
          <w:rFonts w:cs="Arial"/>
        </w:rPr>
        <w:t>mobilização e desmobilização;</w:t>
      </w:r>
      <w:r>
        <w:rPr>
          <w:rFonts w:cs="Arial"/>
        </w:rPr>
        <w:t xml:space="preserve"> </w:t>
      </w:r>
      <w:r w:rsidRPr="00D1239B">
        <w:rPr>
          <w:rFonts w:cs="Arial"/>
        </w:rPr>
        <w:t>lucro, impostos</w:t>
      </w:r>
      <w:r>
        <w:rPr>
          <w:rFonts w:cs="Arial"/>
        </w:rPr>
        <w:t>, encargos, BDI, preço de venda.</w:t>
      </w:r>
    </w:p>
    <w:p w:rsidR="00CF67AE" w:rsidRDefault="00CF67AE" w:rsidP="00161396">
      <w:pPr>
        <w:spacing w:line="240" w:lineRule="auto"/>
        <w:rPr>
          <w:rFonts w:cs="Arial"/>
        </w:rPr>
      </w:pPr>
    </w:p>
    <w:p w:rsidR="00CF67AE" w:rsidRDefault="00161396" w:rsidP="00161396">
      <w:pPr>
        <w:spacing w:line="240" w:lineRule="auto"/>
        <w:rPr>
          <w:rFonts w:cs="Arial"/>
        </w:rPr>
      </w:pPr>
      <w:r>
        <w:rPr>
          <w:rFonts w:cs="Arial"/>
          <w:b/>
        </w:rPr>
        <w:lastRenderedPageBreak/>
        <w:t>P</w:t>
      </w:r>
      <w:r w:rsidR="00CF67AE" w:rsidRPr="00D1239B">
        <w:rPr>
          <w:rFonts w:cs="Arial"/>
          <w:b/>
        </w:rPr>
        <w:t>lanejamento e controle de obras e serviços:</w:t>
      </w:r>
      <w:r w:rsidR="00CF67AE">
        <w:rPr>
          <w:rFonts w:cs="Arial"/>
          <w:b/>
        </w:rPr>
        <w:t xml:space="preserve"> </w:t>
      </w:r>
      <w:r w:rsidR="00CF67AE" w:rsidRPr="00D1239B">
        <w:rPr>
          <w:rFonts w:cs="Arial"/>
        </w:rPr>
        <w:t>importância;</w:t>
      </w:r>
      <w:r w:rsidR="00CF67AE">
        <w:rPr>
          <w:rFonts w:cs="Arial"/>
        </w:rPr>
        <w:t xml:space="preserve"> </w:t>
      </w:r>
      <w:r w:rsidR="00CF67AE" w:rsidRPr="00D1239B">
        <w:rPr>
          <w:rFonts w:cs="Arial"/>
        </w:rPr>
        <w:t>ciclo de vida do projeto;</w:t>
      </w:r>
      <w:r w:rsidR="00CF67AE">
        <w:rPr>
          <w:rFonts w:cs="Arial"/>
        </w:rPr>
        <w:t xml:space="preserve"> </w:t>
      </w:r>
      <w:r w:rsidR="00CF67AE" w:rsidRPr="00D1239B">
        <w:rPr>
          <w:rFonts w:cs="Arial"/>
        </w:rPr>
        <w:t>ciclo PDCA;</w:t>
      </w:r>
      <w:r w:rsidR="00CF67AE">
        <w:rPr>
          <w:rFonts w:cs="Arial"/>
        </w:rPr>
        <w:t xml:space="preserve"> </w:t>
      </w:r>
      <w:r w:rsidR="00CF67AE" w:rsidRPr="00D1239B">
        <w:rPr>
          <w:rFonts w:cs="Arial"/>
        </w:rPr>
        <w:t>estrutura analítica do projeto;</w:t>
      </w:r>
      <w:r w:rsidR="00CF67AE">
        <w:rPr>
          <w:rFonts w:cs="Arial"/>
        </w:rPr>
        <w:t xml:space="preserve"> </w:t>
      </w:r>
      <w:r w:rsidR="00CF67AE" w:rsidRPr="00D1239B">
        <w:rPr>
          <w:rFonts w:cs="Arial"/>
        </w:rPr>
        <w:t>duração das atividades;</w:t>
      </w:r>
      <w:r w:rsidR="00CF67AE">
        <w:rPr>
          <w:rFonts w:cs="Arial"/>
        </w:rPr>
        <w:t xml:space="preserve"> </w:t>
      </w:r>
      <w:r w:rsidR="00CF67AE" w:rsidRPr="00D1239B">
        <w:rPr>
          <w:rFonts w:cs="Arial"/>
        </w:rPr>
        <w:t>precedência de atividades;</w:t>
      </w:r>
      <w:r w:rsidR="00CF67AE">
        <w:rPr>
          <w:rFonts w:cs="Arial"/>
        </w:rPr>
        <w:t xml:space="preserve"> </w:t>
      </w:r>
      <w:r w:rsidR="00CF67AE" w:rsidRPr="00D1239B">
        <w:rPr>
          <w:rFonts w:cs="Arial"/>
        </w:rPr>
        <w:t>diagramas de rede;</w:t>
      </w:r>
      <w:r w:rsidR="00CF67AE">
        <w:rPr>
          <w:rFonts w:cs="Arial"/>
        </w:rPr>
        <w:t xml:space="preserve"> </w:t>
      </w:r>
      <w:proofErr w:type="spellStart"/>
      <w:proofErr w:type="gramStart"/>
      <w:r w:rsidR="00CF67AE" w:rsidRPr="00D1239B">
        <w:rPr>
          <w:rFonts w:cs="Arial"/>
        </w:rPr>
        <w:t>Pert</w:t>
      </w:r>
      <w:proofErr w:type="spellEnd"/>
      <w:r w:rsidR="00CF67AE" w:rsidRPr="00D1239B">
        <w:rPr>
          <w:rFonts w:cs="Arial"/>
        </w:rPr>
        <w:t>-CPM</w:t>
      </w:r>
      <w:proofErr w:type="gramEnd"/>
      <w:r w:rsidR="00CF67AE">
        <w:rPr>
          <w:rFonts w:cs="Arial"/>
        </w:rPr>
        <w:t xml:space="preserve">; </w:t>
      </w:r>
      <w:r w:rsidR="00CF67AE" w:rsidRPr="00D1239B">
        <w:rPr>
          <w:rFonts w:cs="Arial"/>
        </w:rPr>
        <w:t>c</w:t>
      </w:r>
      <w:r w:rsidR="00CF67AE">
        <w:rPr>
          <w:rFonts w:cs="Arial"/>
        </w:rPr>
        <w:t>a</w:t>
      </w:r>
      <w:r w:rsidR="00CF67AE" w:rsidRPr="00D1239B">
        <w:rPr>
          <w:rFonts w:cs="Arial"/>
        </w:rPr>
        <w:t>minho crítico;</w:t>
      </w:r>
      <w:r w:rsidR="00CF67AE">
        <w:rPr>
          <w:rFonts w:cs="Arial"/>
        </w:rPr>
        <w:t xml:space="preserve"> </w:t>
      </w:r>
      <w:r w:rsidR="00CF67AE" w:rsidRPr="00D1239B">
        <w:rPr>
          <w:rFonts w:cs="Arial"/>
        </w:rPr>
        <w:t>folgas;</w:t>
      </w:r>
      <w:r w:rsidR="00CF67AE">
        <w:rPr>
          <w:rFonts w:cs="Arial"/>
        </w:rPr>
        <w:t xml:space="preserve"> </w:t>
      </w:r>
      <w:r w:rsidR="00CF67AE" w:rsidRPr="00D1239B">
        <w:rPr>
          <w:rFonts w:cs="Arial"/>
        </w:rPr>
        <w:t>cronogramas;</w:t>
      </w:r>
      <w:r w:rsidR="00CF67AE">
        <w:rPr>
          <w:rFonts w:cs="Arial"/>
        </w:rPr>
        <w:t xml:space="preserve"> </w:t>
      </w:r>
      <w:r w:rsidR="00CF67AE" w:rsidRPr="00D1239B">
        <w:rPr>
          <w:rFonts w:cs="Arial"/>
        </w:rPr>
        <w:t>recursos;</w:t>
      </w:r>
      <w:r w:rsidR="00CF67AE">
        <w:rPr>
          <w:rFonts w:cs="Arial"/>
        </w:rPr>
        <w:t xml:space="preserve"> </w:t>
      </w:r>
      <w:r w:rsidR="00CF67AE" w:rsidRPr="00D1239B">
        <w:rPr>
          <w:rFonts w:cs="Arial"/>
        </w:rPr>
        <w:t>curvas S;</w:t>
      </w:r>
      <w:r w:rsidR="00CF67AE">
        <w:rPr>
          <w:rFonts w:cs="Arial"/>
        </w:rPr>
        <w:t xml:space="preserve"> </w:t>
      </w:r>
      <w:r w:rsidR="00CF67AE" w:rsidRPr="00D1239B">
        <w:rPr>
          <w:rFonts w:cs="Arial"/>
        </w:rPr>
        <w:t>programação, acompanhamento e controle de obra; apropriação e acompanhamento de insumos e serviços;</w:t>
      </w:r>
      <w:r w:rsidR="00CF67AE">
        <w:rPr>
          <w:rFonts w:cs="Arial"/>
        </w:rPr>
        <w:t xml:space="preserve"> </w:t>
      </w:r>
      <w:r w:rsidR="00CF67AE" w:rsidRPr="00D1239B">
        <w:rPr>
          <w:rFonts w:cs="Arial"/>
        </w:rPr>
        <w:t>medição de serviços;</w:t>
      </w:r>
      <w:r w:rsidR="00CF67AE">
        <w:rPr>
          <w:rFonts w:cs="Arial"/>
        </w:rPr>
        <w:t xml:space="preserve"> </w:t>
      </w:r>
      <w:r w:rsidR="00C8161A">
        <w:rPr>
          <w:rFonts w:cs="Arial"/>
        </w:rPr>
        <w:t xml:space="preserve">apropriação de custos; </w:t>
      </w:r>
      <w:r w:rsidR="00CF67AE" w:rsidRPr="00D1239B">
        <w:rPr>
          <w:rFonts w:cs="Arial"/>
        </w:rPr>
        <w:t xml:space="preserve">aceleração, </w:t>
      </w:r>
      <w:proofErr w:type="spellStart"/>
      <w:r w:rsidR="00CF67AE" w:rsidRPr="00D1239B">
        <w:rPr>
          <w:rFonts w:cs="Arial"/>
        </w:rPr>
        <w:t>desaceleração,controle</w:t>
      </w:r>
      <w:proofErr w:type="spellEnd"/>
      <w:r w:rsidR="00CF67AE" w:rsidRPr="00D1239B">
        <w:rPr>
          <w:rFonts w:cs="Arial"/>
        </w:rPr>
        <w:t xml:space="preserve"> de custos, análise de custos;</w:t>
      </w:r>
      <w:r w:rsidR="00C8161A">
        <w:rPr>
          <w:rFonts w:cs="Arial"/>
        </w:rPr>
        <w:t xml:space="preserve"> </w:t>
      </w:r>
      <w:r w:rsidR="00CF67AE" w:rsidRPr="00D1239B">
        <w:rPr>
          <w:rFonts w:cs="Arial"/>
        </w:rPr>
        <w:t>avaliação do desempenho;</w:t>
      </w:r>
      <w:r w:rsidR="00C8161A">
        <w:rPr>
          <w:rFonts w:cs="Arial"/>
        </w:rPr>
        <w:t xml:space="preserve"> </w:t>
      </w:r>
      <w:r w:rsidR="00CF67AE" w:rsidRPr="00D1239B">
        <w:rPr>
          <w:rFonts w:cs="Arial"/>
        </w:rPr>
        <w:t>gerenciamento de materiais;</w:t>
      </w:r>
      <w:r w:rsidR="00C8161A">
        <w:rPr>
          <w:rFonts w:cs="Arial"/>
        </w:rPr>
        <w:t xml:space="preserve"> fluxo de caixa.</w:t>
      </w:r>
    </w:p>
    <w:p w:rsidR="00C8161A" w:rsidRDefault="00C8161A" w:rsidP="00161396">
      <w:pPr>
        <w:spacing w:line="240" w:lineRule="auto"/>
        <w:rPr>
          <w:rFonts w:cs="Arial"/>
        </w:rPr>
      </w:pPr>
    </w:p>
    <w:p w:rsidR="00C8161A" w:rsidRDefault="00C8161A" w:rsidP="00161396">
      <w:pPr>
        <w:spacing w:line="240" w:lineRule="auto"/>
        <w:rPr>
          <w:rFonts w:cs="Arial"/>
        </w:rPr>
      </w:pPr>
      <w:r w:rsidRPr="00D1239B">
        <w:rPr>
          <w:rFonts w:cs="Arial"/>
          <w:b/>
        </w:rPr>
        <w:t>Instalações prediais</w:t>
      </w:r>
      <w:r>
        <w:rPr>
          <w:rFonts w:cs="Arial"/>
          <w:b/>
        </w:rPr>
        <w:t xml:space="preserve">: </w:t>
      </w:r>
      <w:r w:rsidRPr="00D1239B">
        <w:rPr>
          <w:rFonts w:cs="Arial"/>
        </w:rPr>
        <w:t xml:space="preserve">instalações hidráulicas; instalações de esgoto; </w:t>
      </w:r>
      <w:r>
        <w:rPr>
          <w:rFonts w:cs="Arial"/>
        </w:rPr>
        <w:t xml:space="preserve">instalações de águas pluviais; </w:t>
      </w:r>
      <w:r w:rsidRPr="00D1239B">
        <w:rPr>
          <w:rFonts w:cs="Arial"/>
        </w:rPr>
        <w:t>instalações de telefone; instalações elétricas; instalações especiais;</w:t>
      </w:r>
      <w:r>
        <w:rPr>
          <w:rFonts w:cs="Arial"/>
        </w:rPr>
        <w:t xml:space="preserve"> </w:t>
      </w:r>
      <w:r w:rsidRPr="00D1239B">
        <w:rPr>
          <w:rFonts w:cs="Arial"/>
        </w:rPr>
        <w:t>projeto, dimensionamento, simbologia e representações gráficas</w:t>
      </w:r>
      <w:r>
        <w:rPr>
          <w:rFonts w:cs="Arial"/>
        </w:rPr>
        <w:t>.</w:t>
      </w:r>
    </w:p>
    <w:p w:rsidR="00C8161A" w:rsidRDefault="00C8161A" w:rsidP="00161396">
      <w:pPr>
        <w:spacing w:line="240" w:lineRule="auto"/>
        <w:rPr>
          <w:rFonts w:cs="Arial"/>
        </w:rPr>
      </w:pPr>
    </w:p>
    <w:p w:rsidR="00C8161A" w:rsidRDefault="00C8161A" w:rsidP="00161396">
      <w:pPr>
        <w:spacing w:line="240" w:lineRule="auto"/>
        <w:rPr>
          <w:rFonts w:cs="Arial"/>
        </w:rPr>
      </w:pPr>
      <w:r w:rsidRPr="00D1239B">
        <w:rPr>
          <w:rFonts w:cs="Arial"/>
          <w:b/>
        </w:rPr>
        <w:t>Saneamento básico</w:t>
      </w:r>
      <w:r>
        <w:rPr>
          <w:rFonts w:cs="Arial"/>
          <w:b/>
        </w:rPr>
        <w:t xml:space="preserve">: </w:t>
      </w:r>
      <w:r w:rsidRPr="00D1239B">
        <w:rPr>
          <w:rFonts w:cs="Arial"/>
        </w:rPr>
        <w:t>sistemas de abastecimento de água captação, tratamento, transporte, distribuição, dimensionamento,</w:t>
      </w:r>
      <w:proofErr w:type="gramStart"/>
      <w:r w:rsidRPr="00D1239B">
        <w:rPr>
          <w:rFonts w:cs="Arial"/>
        </w:rPr>
        <w:t xml:space="preserve">  </w:t>
      </w:r>
      <w:proofErr w:type="gramEnd"/>
      <w:r w:rsidRPr="00D1239B">
        <w:rPr>
          <w:rFonts w:cs="Arial"/>
        </w:rPr>
        <w:t>projeto e especificação)</w:t>
      </w:r>
      <w:r>
        <w:rPr>
          <w:rFonts w:cs="Arial"/>
        </w:rPr>
        <w:t xml:space="preserve">; </w:t>
      </w:r>
      <w:r w:rsidRPr="00D1239B">
        <w:rPr>
          <w:rFonts w:cs="Arial"/>
        </w:rPr>
        <w:t>dimensionamento,  projeto e especificação de instalações sanitárias;</w:t>
      </w:r>
      <w:r>
        <w:rPr>
          <w:rFonts w:cs="Arial"/>
        </w:rPr>
        <w:t xml:space="preserve"> </w:t>
      </w:r>
      <w:r w:rsidRPr="00D1239B">
        <w:rPr>
          <w:rFonts w:cs="Arial"/>
        </w:rPr>
        <w:t>sistemas de esgotamento sanitário (coleta, tratamento, lançamento, dimensionamento,  lagoas de estabilização, projeto e especificação)</w:t>
      </w:r>
      <w:r>
        <w:rPr>
          <w:rFonts w:cs="Arial"/>
        </w:rPr>
        <w:t xml:space="preserve">; </w:t>
      </w:r>
      <w:r w:rsidRPr="00D1239B">
        <w:rPr>
          <w:rFonts w:cs="Arial"/>
        </w:rPr>
        <w:t>resíduos sólidos (coleta, tratamento, disposição, dimensionamento,  projeto e especificação);</w:t>
      </w:r>
      <w:r>
        <w:rPr>
          <w:rFonts w:cs="Arial"/>
        </w:rPr>
        <w:t xml:space="preserve"> </w:t>
      </w:r>
      <w:r w:rsidRPr="00D1239B">
        <w:rPr>
          <w:rFonts w:cs="Arial"/>
        </w:rPr>
        <w:t xml:space="preserve">sistemas de drenagem (macrodrenagem, </w:t>
      </w:r>
      <w:proofErr w:type="spellStart"/>
      <w:r w:rsidRPr="00D1239B">
        <w:rPr>
          <w:rFonts w:cs="Arial"/>
        </w:rPr>
        <w:t>microdrenagem</w:t>
      </w:r>
      <w:proofErr w:type="spellEnd"/>
      <w:r w:rsidRPr="00D1239B">
        <w:rPr>
          <w:rFonts w:cs="Arial"/>
        </w:rPr>
        <w:t>, dimensionamento,  projeto e especificação);</w:t>
      </w:r>
      <w:r>
        <w:rPr>
          <w:rFonts w:cs="Arial"/>
        </w:rPr>
        <w:t xml:space="preserve"> </w:t>
      </w:r>
      <w:r w:rsidRPr="006F568F">
        <w:rPr>
          <w:rFonts w:cs="Arial"/>
        </w:rPr>
        <w:t>projeto, simbologia e representações gráficas</w:t>
      </w:r>
      <w:r>
        <w:rPr>
          <w:rFonts w:cs="Arial"/>
        </w:rPr>
        <w:t>.</w:t>
      </w:r>
    </w:p>
    <w:p w:rsidR="00C8161A" w:rsidRDefault="00C8161A" w:rsidP="00161396">
      <w:pPr>
        <w:spacing w:line="240" w:lineRule="auto"/>
        <w:rPr>
          <w:rFonts w:cs="Arial"/>
        </w:rPr>
      </w:pPr>
    </w:p>
    <w:p w:rsidR="00C8161A" w:rsidRDefault="00356728" w:rsidP="00161396">
      <w:pPr>
        <w:spacing w:line="240" w:lineRule="auto"/>
        <w:rPr>
          <w:rFonts w:cs="Arial"/>
          <w:szCs w:val="24"/>
        </w:rPr>
      </w:pPr>
      <w:r>
        <w:rPr>
          <w:rFonts w:cs="Arial"/>
          <w:b/>
          <w:szCs w:val="24"/>
        </w:rPr>
        <w:t>Prevenção</w:t>
      </w:r>
      <w:r w:rsidR="00C8161A" w:rsidRPr="005F4BF0"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>contra</w:t>
      </w:r>
      <w:bookmarkStart w:id="0" w:name="_GoBack"/>
      <w:bookmarkEnd w:id="0"/>
      <w:r w:rsidR="00C8161A" w:rsidRPr="005F4BF0">
        <w:rPr>
          <w:rFonts w:cs="Arial"/>
          <w:b/>
          <w:szCs w:val="24"/>
        </w:rPr>
        <w:t xml:space="preserve"> incêndio</w:t>
      </w:r>
      <w:r w:rsidR="00C8161A">
        <w:rPr>
          <w:rFonts w:cs="Arial"/>
          <w:b/>
          <w:szCs w:val="24"/>
        </w:rPr>
        <w:t xml:space="preserve">: </w:t>
      </w:r>
      <w:r w:rsidR="00C8161A" w:rsidRPr="005F4BF0">
        <w:rPr>
          <w:rFonts w:cs="Arial"/>
          <w:szCs w:val="24"/>
        </w:rPr>
        <w:t>class</w:t>
      </w:r>
      <w:r w:rsidR="00C8161A">
        <w:rPr>
          <w:rFonts w:cs="Arial"/>
          <w:szCs w:val="24"/>
        </w:rPr>
        <w:t>ificações</w:t>
      </w:r>
      <w:r w:rsidR="00C8161A" w:rsidRPr="005F4BF0">
        <w:rPr>
          <w:rFonts w:cs="Arial"/>
          <w:szCs w:val="24"/>
        </w:rPr>
        <w:t xml:space="preserve"> d</w:t>
      </w:r>
      <w:r w:rsidR="00C8161A">
        <w:rPr>
          <w:rFonts w:cs="Arial"/>
          <w:szCs w:val="24"/>
        </w:rPr>
        <w:t>os</w:t>
      </w:r>
      <w:r w:rsidR="00C8161A" w:rsidRPr="005F4BF0">
        <w:rPr>
          <w:rFonts w:cs="Arial"/>
          <w:szCs w:val="24"/>
        </w:rPr>
        <w:t xml:space="preserve"> incêndios</w:t>
      </w:r>
      <w:r w:rsidR="00C8161A">
        <w:rPr>
          <w:rFonts w:cs="Arial"/>
          <w:szCs w:val="24"/>
        </w:rPr>
        <w:t xml:space="preserve">; </w:t>
      </w:r>
      <w:r w:rsidR="00C8161A" w:rsidRPr="005F4BF0">
        <w:rPr>
          <w:rFonts w:cs="Arial"/>
          <w:szCs w:val="24"/>
        </w:rPr>
        <w:t>sistemas de detecção e alarme</w:t>
      </w:r>
      <w:r w:rsidR="00C8161A">
        <w:rPr>
          <w:rFonts w:cs="Arial"/>
          <w:szCs w:val="24"/>
        </w:rPr>
        <w:t xml:space="preserve">; processos de extinção; </w:t>
      </w:r>
      <w:r w:rsidR="00C8161A" w:rsidRPr="005F4BF0">
        <w:rPr>
          <w:rFonts w:cs="Arial"/>
          <w:szCs w:val="24"/>
        </w:rPr>
        <w:t>sistema de proteção por extintores portáteis, tipos,</w:t>
      </w:r>
      <w:r w:rsidR="00C8161A">
        <w:rPr>
          <w:rFonts w:cs="Arial"/>
          <w:szCs w:val="24"/>
        </w:rPr>
        <w:t xml:space="preserve"> inspeção, manutenção e recarga; ensaio hidrostático; classificação dos sistemas; </w:t>
      </w:r>
      <w:r w:rsidR="00C8161A" w:rsidRPr="005F4BF0">
        <w:rPr>
          <w:rFonts w:cs="Arial"/>
          <w:szCs w:val="24"/>
        </w:rPr>
        <w:t>sistema</w:t>
      </w:r>
      <w:r w:rsidR="00C8161A">
        <w:rPr>
          <w:rFonts w:cs="Arial"/>
          <w:szCs w:val="24"/>
        </w:rPr>
        <w:t xml:space="preserve"> de combate a incêndio com água; </w:t>
      </w:r>
      <w:r w:rsidR="00C8161A" w:rsidRPr="005F4BF0">
        <w:rPr>
          <w:rFonts w:cs="Arial"/>
          <w:szCs w:val="24"/>
        </w:rPr>
        <w:t>sistemas de chuveiros automáticos</w:t>
      </w:r>
      <w:r w:rsidR="00C8161A">
        <w:rPr>
          <w:rFonts w:cs="Arial"/>
          <w:szCs w:val="24"/>
        </w:rPr>
        <w:t xml:space="preserve">; </w:t>
      </w:r>
      <w:r w:rsidR="00C8161A" w:rsidRPr="005F4BF0">
        <w:rPr>
          <w:rFonts w:cs="Arial"/>
          <w:szCs w:val="24"/>
        </w:rPr>
        <w:t>sistema de combate</w:t>
      </w:r>
      <w:r w:rsidR="00C8161A">
        <w:rPr>
          <w:rFonts w:cs="Arial"/>
          <w:szCs w:val="24"/>
        </w:rPr>
        <w:t xml:space="preserve"> a incêndio por agentes gasosos; </w:t>
      </w:r>
      <w:r w:rsidR="00C8161A" w:rsidRPr="005F4BF0">
        <w:rPr>
          <w:rFonts w:cs="Arial"/>
          <w:szCs w:val="24"/>
        </w:rPr>
        <w:t>COS</w:t>
      </w:r>
      <w:r w:rsidR="00C8161A">
        <w:rPr>
          <w:rFonts w:cs="Arial"/>
          <w:szCs w:val="24"/>
        </w:rPr>
        <w:t>C</w:t>
      </w:r>
      <w:r w:rsidR="00C8161A" w:rsidRPr="005F4BF0">
        <w:rPr>
          <w:rFonts w:cs="Arial"/>
          <w:szCs w:val="24"/>
        </w:rPr>
        <w:t>IP</w:t>
      </w:r>
      <w:r w:rsidR="00C8161A">
        <w:rPr>
          <w:rFonts w:cs="Arial"/>
          <w:szCs w:val="24"/>
        </w:rPr>
        <w:t xml:space="preserve"> RJ; projeto, dimensionamento, simbologia e representações gráficas.</w:t>
      </w:r>
    </w:p>
    <w:p w:rsidR="00C8161A" w:rsidRDefault="00C8161A" w:rsidP="00161396">
      <w:pPr>
        <w:spacing w:line="240" w:lineRule="auto"/>
        <w:rPr>
          <w:rFonts w:cs="Arial"/>
        </w:rPr>
      </w:pPr>
    </w:p>
    <w:p w:rsidR="00C8161A" w:rsidRDefault="00C8161A" w:rsidP="00161396">
      <w:pPr>
        <w:spacing w:line="240" w:lineRule="auto"/>
        <w:rPr>
          <w:rFonts w:cs="Arial"/>
        </w:rPr>
      </w:pPr>
      <w:r w:rsidRPr="00D1239B">
        <w:rPr>
          <w:rFonts w:cs="Arial"/>
          <w:b/>
        </w:rPr>
        <w:t>Segurança e higiene do trabalho</w:t>
      </w:r>
      <w:r>
        <w:rPr>
          <w:rFonts w:cs="Arial"/>
          <w:b/>
        </w:rPr>
        <w:t xml:space="preserve">: </w:t>
      </w:r>
      <w:r w:rsidRPr="00D1239B">
        <w:rPr>
          <w:rFonts w:cs="Arial"/>
        </w:rPr>
        <w:t>segurança na construção civil;</w:t>
      </w:r>
      <w:r>
        <w:rPr>
          <w:rFonts w:cs="Arial"/>
        </w:rPr>
        <w:t xml:space="preserve"> </w:t>
      </w:r>
      <w:r w:rsidRPr="00D1239B">
        <w:rPr>
          <w:rFonts w:cs="Arial"/>
        </w:rPr>
        <w:t>proteção coletiva e individual; ergonomia; higiene do trabalho;</w:t>
      </w:r>
      <w:r>
        <w:rPr>
          <w:rFonts w:cs="Arial"/>
        </w:rPr>
        <w:t xml:space="preserve"> </w:t>
      </w:r>
      <w:r w:rsidRPr="00D1239B">
        <w:rPr>
          <w:rFonts w:cs="Arial"/>
        </w:rPr>
        <w:t>riscos ambientais (químicos, físicos, biológicos, mecânicos);</w:t>
      </w:r>
      <w:r>
        <w:rPr>
          <w:rFonts w:cs="Arial"/>
        </w:rPr>
        <w:t xml:space="preserve"> </w:t>
      </w:r>
      <w:r w:rsidRPr="00D1239B">
        <w:rPr>
          <w:rFonts w:cs="Arial"/>
        </w:rPr>
        <w:t>riscos em transporte;</w:t>
      </w:r>
      <w:r>
        <w:rPr>
          <w:rFonts w:cs="Arial"/>
        </w:rPr>
        <w:t xml:space="preserve"> </w:t>
      </w:r>
      <w:r w:rsidRPr="00D1239B">
        <w:rPr>
          <w:rFonts w:cs="Arial"/>
        </w:rPr>
        <w:t>riscos em eletricidade;</w:t>
      </w:r>
      <w:r>
        <w:rPr>
          <w:rFonts w:cs="Arial"/>
        </w:rPr>
        <w:t xml:space="preserve"> </w:t>
      </w:r>
      <w:r w:rsidRPr="00D1239B">
        <w:rPr>
          <w:rFonts w:cs="Arial"/>
        </w:rPr>
        <w:t>riscos em movimentação de materiais;</w:t>
      </w:r>
      <w:proofErr w:type="gramStart"/>
      <w:r w:rsidRPr="00D1239B">
        <w:rPr>
          <w:rFonts w:cs="Arial"/>
        </w:rPr>
        <w:t xml:space="preserve"> </w:t>
      </w:r>
      <w:r>
        <w:rPr>
          <w:rFonts w:cs="Arial"/>
        </w:rPr>
        <w:t xml:space="preserve"> </w:t>
      </w:r>
      <w:proofErr w:type="gramEnd"/>
      <w:r w:rsidRPr="00D1239B">
        <w:rPr>
          <w:rFonts w:cs="Arial"/>
        </w:rPr>
        <w:t>normas regulamentadoras;</w:t>
      </w:r>
      <w:r>
        <w:rPr>
          <w:rFonts w:cs="Arial"/>
        </w:rPr>
        <w:t xml:space="preserve"> </w:t>
      </w:r>
      <w:r w:rsidRPr="00D1239B">
        <w:rPr>
          <w:rFonts w:cs="Arial"/>
        </w:rPr>
        <w:t>definição e conceito de capacitação, prevenção, risco, condição insegura, ato inseguro, impru</w:t>
      </w:r>
      <w:r>
        <w:rPr>
          <w:rFonts w:cs="Arial"/>
        </w:rPr>
        <w:t>dência, negligência e imperícia.</w:t>
      </w:r>
    </w:p>
    <w:p w:rsidR="00C8161A" w:rsidRDefault="00C8161A" w:rsidP="00161396">
      <w:pPr>
        <w:spacing w:line="240" w:lineRule="auto"/>
        <w:rPr>
          <w:rFonts w:cs="Arial"/>
        </w:rPr>
      </w:pPr>
    </w:p>
    <w:p w:rsidR="00C8161A" w:rsidRDefault="00C8161A" w:rsidP="00161396">
      <w:pPr>
        <w:spacing w:line="240" w:lineRule="auto"/>
        <w:rPr>
          <w:rFonts w:cs="Arial"/>
        </w:rPr>
      </w:pPr>
      <w:r w:rsidRPr="00D1239B">
        <w:rPr>
          <w:rFonts w:cs="Arial"/>
          <w:b/>
        </w:rPr>
        <w:t>Resistência dos materiais</w:t>
      </w:r>
      <w:r>
        <w:rPr>
          <w:rFonts w:cs="Arial"/>
          <w:b/>
        </w:rPr>
        <w:t xml:space="preserve">: </w:t>
      </w:r>
      <w:r w:rsidRPr="00D1239B">
        <w:rPr>
          <w:rFonts w:cs="Arial"/>
        </w:rPr>
        <w:t>vetores;</w:t>
      </w:r>
      <w:r>
        <w:rPr>
          <w:rFonts w:cs="Arial"/>
        </w:rPr>
        <w:t xml:space="preserve"> </w:t>
      </w:r>
      <w:r w:rsidRPr="00D1239B">
        <w:rPr>
          <w:rFonts w:cs="Arial"/>
        </w:rPr>
        <w:t>equilíbrio;</w:t>
      </w:r>
      <w:r>
        <w:rPr>
          <w:rFonts w:cs="Arial"/>
        </w:rPr>
        <w:t xml:space="preserve"> </w:t>
      </w:r>
      <w:r w:rsidRPr="00D1239B">
        <w:rPr>
          <w:rFonts w:cs="Arial"/>
        </w:rPr>
        <w:t>resultantes de sistema de forças;</w:t>
      </w:r>
      <w:r>
        <w:rPr>
          <w:rFonts w:cs="Arial"/>
        </w:rPr>
        <w:t xml:space="preserve"> </w:t>
      </w:r>
      <w:r w:rsidRPr="00D1239B">
        <w:rPr>
          <w:rFonts w:cs="Arial"/>
        </w:rPr>
        <w:t>atrito;</w:t>
      </w:r>
      <w:r>
        <w:rPr>
          <w:rFonts w:cs="Arial"/>
        </w:rPr>
        <w:t xml:space="preserve"> </w:t>
      </w:r>
      <w:r w:rsidRPr="00D1239B">
        <w:rPr>
          <w:rFonts w:cs="Arial"/>
        </w:rPr>
        <w:t>centro de gravidade, centroide;</w:t>
      </w:r>
      <w:r>
        <w:rPr>
          <w:rFonts w:cs="Arial"/>
        </w:rPr>
        <w:t xml:space="preserve"> </w:t>
      </w:r>
      <w:r w:rsidRPr="00D1239B">
        <w:rPr>
          <w:rFonts w:cs="Arial"/>
        </w:rPr>
        <w:t>momento de inércia;</w:t>
      </w:r>
      <w:r>
        <w:rPr>
          <w:rFonts w:cs="Arial"/>
        </w:rPr>
        <w:t xml:space="preserve"> </w:t>
      </w:r>
      <w:r w:rsidRPr="00D1239B">
        <w:rPr>
          <w:rFonts w:cs="Arial"/>
        </w:rPr>
        <w:t>trabalho virtual;</w:t>
      </w:r>
      <w:r>
        <w:rPr>
          <w:rFonts w:cs="Arial"/>
        </w:rPr>
        <w:t xml:space="preserve"> </w:t>
      </w:r>
      <w:r w:rsidRPr="00D1239B">
        <w:rPr>
          <w:rFonts w:cs="Arial"/>
        </w:rPr>
        <w:t>esforços normais, cortantes e de flexão;</w:t>
      </w:r>
      <w:r>
        <w:rPr>
          <w:rFonts w:cs="Arial"/>
        </w:rPr>
        <w:t xml:space="preserve"> </w:t>
      </w:r>
      <w:r w:rsidRPr="00D1239B">
        <w:rPr>
          <w:rFonts w:cs="Arial"/>
        </w:rPr>
        <w:t>tensões;</w:t>
      </w:r>
      <w:r>
        <w:rPr>
          <w:rFonts w:cs="Arial"/>
        </w:rPr>
        <w:t xml:space="preserve"> </w:t>
      </w:r>
      <w:r w:rsidRPr="00D1239B">
        <w:rPr>
          <w:rFonts w:cs="Arial"/>
        </w:rPr>
        <w:t>deformações;</w:t>
      </w:r>
      <w:r>
        <w:rPr>
          <w:rFonts w:cs="Arial"/>
        </w:rPr>
        <w:t xml:space="preserve"> </w:t>
      </w:r>
      <w:r w:rsidRPr="00D1239B">
        <w:rPr>
          <w:rFonts w:cs="Arial"/>
        </w:rPr>
        <w:t>análise das tensões e deformações;</w:t>
      </w:r>
      <w:r>
        <w:rPr>
          <w:rFonts w:cs="Arial"/>
        </w:rPr>
        <w:t xml:space="preserve"> </w:t>
      </w:r>
      <w:r w:rsidRPr="00D1239B">
        <w:rPr>
          <w:rFonts w:cs="Arial"/>
        </w:rPr>
        <w:t xml:space="preserve">lei de </w:t>
      </w:r>
      <w:proofErr w:type="spellStart"/>
      <w:r w:rsidRPr="00D1239B">
        <w:rPr>
          <w:rFonts w:cs="Arial"/>
        </w:rPr>
        <w:t>Hooke</w:t>
      </w:r>
      <w:proofErr w:type="spellEnd"/>
      <w:r w:rsidRPr="00D1239B">
        <w:rPr>
          <w:rFonts w:cs="Arial"/>
        </w:rPr>
        <w:t>;</w:t>
      </w:r>
      <w:r>
        <w:rPr>
          <w:rFonts w:cs="Arial"/>
        </w:rPr>
        <w:t xml:space="preserve"> </w:t>
      </w:r>
      <w:r w:rsidRPr="00D1239B">
        <w:rPr>
          <w:rFonts w:cs="Arial"/>
        </w:rPr>
        <w:t>propriedades mecânicas dos materiais;</w:t>
      </w:r>
      <w:r>
        <w:rPr>
          <w:rFonts w:cs="Arial"/>
        </w:rPr>
        <w:t xml:space="preserve"> </w:t>
      </w:r>
      <w:r w:rsidRPr="00D1239B">
        <w:rPr>
          <w:rFonts w:cs="Arial"/>
        </w:rPr>
        <w:t>carga axial;</w:t>
      </w:r>
      <w:r>
        <w:rPr>
          <w:rFonts w:cs="Arial"/>
        </w:rPr>
        <w:t xml:space="preserve"> </w:t>
      </w:r>
      <w:r w:rsidRPr="00D1239B">
        <w:rPr>
          <w:rFonts w:cs="Arial"/>
        </w:rPr>
        <w:t>torção;</w:t>
      </w:r>
      <w:r>
        <w:rPr>
          <w:rFonts w:cs="Arial"/>
        </w:rPr>
        <w:t xml:space="preserve"> </w:t>
      </w:r>
      <w:r w:rsidRPr="00D1239B">
        <w:rPr>
          <w:rFonts w:cs="Arial"/>
        </w:rPr>
        <w:t>flexão;</w:t>
      </w:r>
      <w:r>
        <w:rPr>
          <w:rFonts w:cs="Arial"/>
        </w:rPr>
        <w:t xml:space="preserve"> </w:t>
      </w:r>
      <w:r w:rsidRPr="00D1239B">
        <w:rPr>
          <w:rFonts w:cs="Arial"/>
        </w:rPr>
        <w:t>cisalhamento transversal;</w:t>
      </w:r>
      <w:r>
        <w:rPr>
          <w:rFonts w:cs="Arial"/>
        </w:rPr>
        <w:t xml:space="preserve"> </w:t>
      </w:r>
      <w:r w:rsidRPr="00D1239B">
        <w:rPr>
          <w:rFonts w:cs="Arial"/>
        </w:rPr>
        <w:t>cargas combinadas;</w:t>
      </w:r>
      <w:r>
        <w:rPr>
          <w:rFonts w:cs="Arial"/>
        </w:rPr>
        <w:t xml:space="preserve"> </w:t>
      </w:r>
      <w:proofErr w:type="spellStart"/>
      <w:r w:rsidRPr="00D1239B">
        <w:rPr>
          <w:rFonts w:cs="Arial"/>
        </w:rPr>
        <w:t>flambagem</w:t>
      </w:r>
      <w:proofErr w:type="spellEnd"/>
      <w:r w:rsidRPr="00D1239B">
        <w:rPr>
          <w:rFonts w:cs="Arial"/>
        </w:rPr>
        <w:t>;</w:t>
      </w:r>
      <w:r>
        <w:rPr>
          <w:rFonts w:cs="Arial"/>
        </w:rPr>
        <w:t xml:space="preserve"> momentos.</w:t>
      </w:r>
    </w:p>
    <w:p w:rsidR="00C8161A" w:rsidRDefault="00C8161A" w:rsidP="00161396">
      <w:pPr>
        <w:spacing w:line="240" w:lineRule="auto"/>
        <w:rPr>
          <w:rFonts w:cs="Arial"/>
        </w:rPr>
      </w:pPr>
    </w:p>
    <w:p w:rsidR="00C8161A" w:rsidRDefault="00C8161A" w:rsidP="00161396">
      <w:pPr>
        <w:spacing w:line="240" w:lineRule="auto"/>
        <w:rPr>
          <w:rFonts w:cs="Arial"/>
        </w:rPr>
      </w:pPr>
    </w:p>
    <w:p w:rsidR="00C8161A" w:rsidRDefault="00C8161A" w:rsidP="00161396">
      <w:pPr>
        <w:spacing w:line="240" w:lineRule="auto"/>
        <w:rPr>
          <w:rFonts w:cs="Arial"/>
        </w:rPr>
      </w:pPr>
      <w:r w:rsidRPr="00D1239B">
        <w:rPr>
          <w:rFonts w:cs="Arial"/>
          <w:b/>
        </w:rPr>
        <w:t>Análise estrutural</w:t>
      </w:r>
      <w:r>
        <w:rPr>
          <w:rFonts w:cs="Arial"/>
          <w:b/>
        </w:rPr>
        <w:t xml:space="preserve">: </w:t>
      </w:r>
      <w:r w:rsidRPr="00D1239B">
        <w:rPr>
          <w:rFonts w:cs="Arial"/>
        </w:rPr>
        <w:t>elementos estruturais;</w:t>
      </w:r>
      <w:r>
        <w:rPr>
          <w:rFonts w:cs="Arial"/>
        </w:rPr>
        <w:t xml:space="preserve"> </w:t>
      </w:r>
      <w:r w:rsidRPr="00D1239B">
        <w:rPr>
          <w:rFonts w:cs="Arial"/>
        </w:rPr>
        <w:t>esforços solicitantes;</w:t>
      </w:r>
      <w:r>
        <w:rPr>
          <w:rFonts w:cs="Arial"/>
        </w:rPr>
        <w:t xml:space="preserve"> </w:t>
      </w:r>
      <w:r w:rsidRPr="00D1239B">
        <w:rPr>
          <w:rFonts w:cs="Arial"/>
        </w:rPr>
        <w:t>esforços resistentes;</w:t>
      </w:r>
      <w:r>
        <w:rPr>
          <w:rFonts w:cs="Arial"/>
        </w:rPr>
        <w:t xml:space="preserve"> </w:t>
      </w:r>
      <w:r w:rsidRPr="00D1239B">
        <w:rPr>
          <w:rFonts w:cs="Arial"/>
        </w:rPr>
        <w:t>força;</w:t>
      </w:r>
      <w:r>
        <w:rPr>
          <w:rFonts w:cs="Arial"/>
        </w:rPr>
        <w:t xml:space="preserve"> </w:t>
      </w:r>
      <w:r w:rsidRPr="00D1239B">
        <w:rPr>
          <w:rFonts w:cs="Arial"/>
        </w:rPr>
        <w:t>momento;</w:t>
      </w:r>
      <w:r>
        <w:rPr>
          <w:rFonts w:cs="Arial"/>
        </w:rPr>
        <w:t xml:space="preserve"> </w:t>
      </w:r>
      <w:r w:rsidRPr="00D1239B">
        <w:rPr>
          <w:rFonts w:cs="Arial"/>
        </w:rPr>
        <w:t>sistema de forças;</w:t>
      </w:r>
      <w:r>
        <w:rPr>
          <w:rFonts w:cs="Arial"/>
        </w:rPr>
        <w:t xml:space="preserve"> </w:t>
      </w:r>
      <w:r w:rsidRPr="00D1239B">
        <w:rPr>
          <w:rFonts w:cs="Arial"/>
        </w:rPr>
        <w:t>equilíbrio estático;</w:t>
      </w:r>
      <w:r>
        <w:rPr>
          <w:rFonts w:cs="Arial"/>
        </w:rPr>
        <w:t xml:space="preserve"> </w:t>
      </w:r>
      <w:r w:rsidRPr="00D1239B">
        <w:rPr>
          <w:rFonts w:cs="Arial"/>
        </w:rPr>
        <w:t>apoios;</w:t>
      </w:r>
      <w:r>
        <w:rPr>
          <w:rFonts w:cs="Arial"/>
        </w:rPr>
        <w:t xml:space="preserve"> </w:t>
      </w:r>
      <w:r w:rsidRPr="00D1239B">
        <w:rPr>
          <w:rFonts w:cs="Arial"/>
        </w:rPr>
        <w:t>graus de liberdade;</w:t>
      </w:r>
      <w:r>
        <w:rPr>
          <w:rFonts w:cs="Arial"/>
        </w:rPr>
        <w:t xml:space="preserve"> </w:t>
      </w:r>
      <w:r w:rsidRPr="00D1239B">
        <w:rPr>
          <w:rFonts w:cs="Arial"/>
        </w:rPr>
        <w:t>reações de apoio;</w:t>
      </w:r>
      <w:r>
        <w:rPr>
          <w:rFonts w:cs="Arial"/>
        </w:rPr>
        <w:t xml:space="preserve"> </w:t>
      </w:r>
      <w:r w:rsidRPr="00D1239B">
        <w:rPr>
          <w:rFonts w:cs="Arial"/>
        </w:rPr>
        <w:t xml:space="preserve">grau de </w:t>
      </w:r>
      <w:proofErr w:type="spellStart"/>
      <w:r w:rsidRPr="00D1239B">
        <w:rPr>
          <w:rFonts w:cs="Arial"/>
        </w:rPr>
        <w:t>estaticidade</w:t>
      </w:r>
      <w:proofErr w:type="spellEnd"/>
      <w:r w:rsidRPr="00D1239B">
        <w:rPr>
          <w:rFonts w:cs="Arial"/>
        </w:rPr>
        <w:t>;</w:t>
      </w:r>
      <w:r>
        <w:rPr>
          <w:rFonts w:cs="Arial"/>
        </w:rPr>
        <w:t xml:space="preserve"> </w:t>
      </w:r>
      <w:r w:rsidRPr="00D1239B">
        <w:rPr>
          <w:rFonts w:cs="Arial"/>
        </w:rPr>
        <w:t>esforços internos;</w:t>
      </w:r>
      <w:r>
        <w:rPr>
          <w:rFonts w:cs="Arial"/>
        </w:rPr>
        <w:t xml:space="preserve"> </w:t>
      </w:r>
      <w:r w:rsidRPr="00D1239B">
        <w:rPr>
          <w:rFonts w:cs="Arial"/>
        </w:rPr>
        <w:t>diagrama de esforços solicitantes: normais</w:t>
      </w:r>
      <w:r>
        <w:rPr>
          <w:rFonts w:cs="Arial"/>
        </w:rPr>
        <w:t xml:space="preserve">, cortantes e de momento </w:t>
      </w:r>
      <w:proofErr w:type="spellStart"/>
      <w:r>
        <w:rPr>
          <w:rFonts w:cs="Arial"/>
        </w:rPr>
        <w:t>fletor</w:t>
      </w:r>
      <w:proofErr w:type="spellEnd"/>
      <w:r>
        <w:rPr>
          <w:rFonts w:cs="Arial"/>
        </w:rPr>
        <w:t xml:space="preserve">; </w:t>
      </w:r>
      <w:r w:rsidRPr="00D1239B">
        <w:rPr>
          <w:rFonts w:cs="Arial"/>
        </w:rPr>
        <w:t>estruturas pla</w:t>
      </w:r>
      <w:r>
        <w:rPr>
          <w:rFonts w:cs="Arial"/>
        </w:rPr>
        <w:t>nas: vigas, pórticos e treliças.</w:t>
      </w:r>
    </w:p>
    <w:p w:rsidR="00C8161A" w:rsidRDefault="00C8161A" w:rsidP="00161396">
      <w:pPr>
        <w:spacing w:line="240" w:lineRule="auto"/>
        <w:rPr>
          <w:rFonts w:cs="Arial"/>
        </w:rPr>
      </w:pPr>
    </w:p>
    <w:p w:rsidR="00C8161A" w:rsidRDefault="00C8161A" w:rsidP="00161396">
      <w:pPr>
        <w:spacing w:line="240" w:lineRule="auto"/>
        <w:rPr>
          <w:rFonts w:cs="Arial"/>
        </w:rPr>
      </w:pPr>
      <w:r w:rsidRPr="00D1239B">
        <w:rPr>
          <w:rFonts w:cs="Arial"/>
          <w:b/>
        </w:rPr>
        <w:lastRenderedPageBreak/>
        <w:t>Fundações</w:t>
      </w:r>
      <w:r>
        <w:rPr>
          <w:rFonts w:cs="Arial"/>
          <w:b/>
        </w:rPr>
        <w:t xml:space="preserve">: </w:t>
      </w:r>
      <w:r w:rsidRPr="00D1239B">
        <w:rPr>
          <w:rFonts w:cs="Arial"/>
        </w:rPr>
        <w:t>diretas;</w:t>
      </w:r>
      <w:r>
        <w:rPr>
          <w:rFonts w:cs="Arial"/>
        </w:rPr>
        <w:t xml:space="preserve"> </w:t>
      </w:r>
      <w:r w:rsidRPr="00D1239B">
        <w:rPr>
          <w:rFonts w:cs="Arial"/>
        </w:rPr>
        <w:t>indiretas;</w:t>
      </w:r>
      <w:proofErr w:type="gramStart"/>
      <w:r w:rsidRPr="00D1239B">
        <w:rPr>
          <w:rFonts w:cs="Arial"/>
        </w:rPr>
        <w:t xml:space="preserve"> </w:t>
      </w:r>
      <w:r>
        <w:rPr>
          <w:rFonts w:cs="Arial"/>
        </w:rPr>
        <w:t xml:space="preserve"> </w:t>
      </w:r>
      <w:proofErr w:type="gramEnd"/>
      <w:r w:rsidRPr="00D1239B">
        <w:rPr>
          <w:rFonts w:cs="Arial"/>
        </w:rPr>
        <w:t>capacidade de carga;</w:t>
      </w:r>
      <w:r>
        <w:rPr>
          <w:rFonts w:cs="Arial"/>
        </w:rPr>
        <w:t xml:space="preserve"> </w:t>
      </w:r>
      <w:r w:rsidRPr="00D1239B">
        <w:rPr>
          <w:rFonts w:cs="Arial"/>
        </w:rPr>
        <w:t>processos executivos;</w:t>
      </w:r>
      <w:r>
        <w:rPr>
          <w:rFonts w:cs="Arial"/>
        </w:rPr>
        <w:t xml:space="preserve"> </w:t>
      </w:r>
      <w:r w:rsidRPr="00D1239B">
        <w:rPr>
          <w:rFonts w:cs="Arial"/>
        </w:rPr>
        <w:t>sondagens;</w:t>
      </w:r>
      <w:r>
        <w:rPr>
          <w:rFonts w:cs="Arial"/>
        </w:rPr>
        <w:t xml:space="preserve"> </w:t>
      </w:r>
      <w:r w:rsidRPr="00D1239B">
        <w:rPr>
          <w:rFonts w:cs="Arial"/>
        </w:rPr>
        <w:t>ensaios e provas de carga;</w:t>
      </w:r>
      <w:r>
        <w:rPr>
          <w:rFonts w:cs="Arial"/>
        </w:rPr>
        <w:t xml:space="preserve"> </w:t>
      </w:r>
      <w:proofErr w:type="spellStart"/>
      <w:r w:rsidR="00B8718F">
        <w:rPr>
          <w:rFonts w:cs="Arial"/>
        </w:rPr>
        <w:t>cotrole</w:t>
      </w:r>
      <w:proofErr w:type="spellEnd"/>
      <w:r w:rsidR="00B8718F">
        <w:rPr>
          <w:rFonts w:cs="Arial"/>
        </w:rPr>
        <w:t xml:space="preserve"> tecnológico</w:t>
      </w:r>
      <w:r>
        <w:rPr>
          <w:rFonts w:cs="Arial"/>
        </w:rPr>
        <w:t>.</w:t>
      </w:r>
    </w:p>
    <w:p w:rsidR="00C8161A" w:rsidRDefault="00C8161A" w:rsidP="00161396">
      <w:pPr>
        <w:spacing w:line="240" w:lineRule="auto"/>
        <w:rPr>
          <w:rFonts w:cs="Arial"/>
        </w:rPr>
      </w:pPr>
    </w:p>
    <w:p w:rsidR="00C8161A" w:rsidRDefault="00C8161A" w:rsidP="00161396">
      <w:pPr>
        <w:spacing w:line="240" w:lineRule="auto"/>
        <w:rPr>
          <w:rFonts w:cs="Arial"/>
        </w:rPr>
      </w:pPr>
    </w:p>
    <w:p w:rsidR="00C8161A" w:rsidRDefault="00C8161A" w:rsidP="00161396">
      <w:pPr>
        <w:spacing w:line="240" w:lineRule="auto"/>
        <w:rPr>
          <w:rFonts w:cs="Arial"/>
        </w:rPr>
      </w:pPr>
      <w:r w:rsidRPr="00B8718F">
        <w:rPr>
          <w:rFonts w:cs="Arial"/>
          <w:b/>
        </w:rPr>
        <w:t>Estruturas</w:t>
      </w:r>
      <w:r w:rsidR="00B8718F" w:rsidRPr="00B8718F">
        <w:rPr>
          <w:rFonts w:cs="Arial"/>
          <w:b/>
        </w:rPr>
        <w:t xml:space="preserve"> </w:t>
      </w:r>
      <w:r w:rsidRPr="00B8718F">
        <w:rPr>
          <w:rFonts w:cs="Arial"/>
          <w:b/>
        </w:rPr>
        <w:t>de concreto armado</w:t>
      </w:r>
      <w:r w:rsidR="00B8718F" w:rsidRPr="00B8718F">
        <w:rPr>
          <w:rFonts w:cs="Arial"/>
          <w:b/>
        </w:rPr>
        <w:t xml:space="preserve"> e</w:t>
      </w:r>
      <w:r w:rsidRPr="00B8718F">
        <w:rPr>
          <w:rFonts w:cs="Arial"/>
          <w:b/>
        </w:rPr>
        <w:t xml:space="preserve"> metálicas</w:t>
      </w:r>
      <w:r w:rsidR="00B8718F">
        <w:rPr>
          <w:rFonts w:cs="Arial"/>
        </w:rPr>
        <w:t>:</w:t>
      </w:r>
      <w:r>
        <w:rPr>
          <w:rFonts w:cs="Arial"/>
        </w:rPr>
        <w:t xml:space="preserve"> </w:t>
      </w:r>
      <w:r w:rsidRPr="00D1239B">
        <w:rPr>
          <w:rFonts w:cs="Arial"/>
        </w:rPr>
        <w:t>projeto e detalhamento estrutural;</w:t>
      </w:r>
      <w:r>
        <w:rPr>
          <w:rFonts w:cs="Arial"/>
        </w:rPr>
        <w:t xml:space="preserve"> processos executivos.</w:t>
      </w:r>
    </w:p>
    <w:p w:rsidR="00C8161A" w:rsidRDefault="00C8161A" w:rsidP="00161396">
      <w:pPr>
        <w:spacing w:line="240" w:lineRule="auto"/>
        <w:rPr>
          <w:rFonts w:cs="Arial"/>
        </w:rPr>
      </w:pPr>
    </w:p>
    <w:p w:rsidR="00C8161A" w:rsidRDefault="00C8161A" w:rsidP="00161396">
      <w:pPr>
        <w:spacing w:line="240" w:lineRule="auto"/>
        <w:rPr>
          <w:rFonts w:cs="Arial"/>
        </w:rPr>
      </w:pPr>
      <w:r w:rsidRPr="00FE489E">
        <w:rPr>
          <w:rFonts w:cs="Arial"/>
          <w:b/>
        </w:rPr>
        <w:t xml:space="preserve">Patologias e recuperação </w:t>
      </w:r>
      <w:r>
        <w:rPr>
          <w:rFonts w:cs="Arial"/>
          <w:b/>
        </w:rPr>
        <w:t xml:space="preserve">de obras de engenharia: </w:t>
      </w:r>
      <w:r w:rsidRPr="00FE489E">
        <w:rPr>
          <w:rFonts w:cs="Arial"/>
        </w:rPr>
        <w:t>de edificações;</w:t>
      </w:r>
      <w:r>
        <w:rPr>
          <w:rFonts w:cs="Arial"/>
        </w:rPr>
        <w:t xml:space="preserve"> </w:t>
      </w:r>
      <w:r w:rsidRPr="00FE489E">
        <w:rPr>
          <w:rFonts w:cs="Arial"/>
        </w:rPr>
        <w:t>de fundações;</w:t>
      </w:r>
      <w:r>
        <w:rPr>
          <w:rFonts w:cs="Arial"/>
        </w:rPr>
        <w:t xml:space="preserve"> de estruturas.</w:t>
      </w:r>
    </w:p>
    <w:p w:rsidR="00C8161A" w:rsidRDefault="00C8161A" w:rsidP="00161396">
      <w:pPr>
        <w:spacing w:line="240" w:lineRule="auto"/>
        <w:rPr>
          <w:rFonts w:cs="Arial"/>
        </w:rPr>
      </w:pPr>
    </w:p>
    <w:p w:rsidR="00C8161A" w:rsidRDefault="00C8161A" w:rsidP="00161396">
      <w:pPr>
        <w:spacing w:line="240" w:lineRule="auto"/>
        <w:rPr>
          <w:rFonts w:cs="Arial"/>
        </w:rPr>
      </w:pPr>
      <w:r w:rsidRPr="00D1239B">
        <w:rPr>
          <w:rFonts w:cs="Arial"/>
          <w:b/>
        </w:rPr>
        <w:t>Fiscalização de obras</w:t>
      </w:r>
      <w:r>
        <w:rPr>
          <w:rFonts w:cs="Arial"/>
          <w:b/>
        </w:rPr>
        <w:t xml:space="preserve">: </w:t>
      </w:r>
      <w:r w:rsidRPr="00D1239B">
        <w:rPr>
          <w:rFonts w:cs="Arial"/>
        </w:rPr>
        <w:t>recebimento de obra;</w:t>
      </w:r>
      <w:r>
        <w:rPr>
          <w:rFonts w:cs="Arial"/>
        </w:rPr>
        <w:t xml:space="preserve"> </w:t>
      </w:r>
      <w:r w:rsidRPr="00D1239B">
        <w:rPr>
          <w:rFonts w:cs="Arial"/>
        </w:rPr>
        <w:t>ensaios técnicos para controle;</w:t>
      </w:r>
      <w:r>
        <w:rPr>
          <w:rFonts w:cs="Arial"/>
        </w:rPr>
        <w:t xml:space="preserve"> </w:t>
      </w:r>
      <w:r w:rsidRPr="00D1239B">
        <w:rPr>
          <w:rFonts w:cs="Arial"/>
        </w:rPr>
        <w:t>acompanhamento da aplicação de recursos (medições, faturas, cálculos de reajustamento);</w:t>
      </w:r>
      <w:r>
        <w:rPr>
          <w:rFonts w:cs="Arial"/>
        </w:rPr>
        <w:t xml:space="preserve"> </w:t>
      </w:r>
      <w:r w:rsidRPr="00D1239B">
        <w:rPr>
          <w:rFonts w:cs="Arial"/>
        </w:rPr>
        <w:t>análise da documentação técnica, da documentação legal, do diário da obra, da</w:t>
      </w:r>
      <w:r>
        <w:rPr>
          <w:rFonts w:cs="Arial"/>
        </w:rPr>
        <w:t>s ART, dos aditivos contratuais.</w:t>
      </w:r>
    </w:p>
    <w:p w:rsidR="00C8161A" w:rsidRDefault="00C8161A" w:rsidP="00161396">
      <w:pPr>
        <w:spacing w:line="240" w:lineRule="auto"/>
        <w:rPr>
          <w:rFonts w:cs="Arial"/>
        </w:rPr>
      </w:pPr>
    </w:p>
    <w:p w:rsidR="00C8161A" w:rsidRDefault="00C8161A" w:rsidP="00161396">
      <w:pPr>
        <w:spacing w:line="240" w:lineRule="auto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Contratação de serviços: </w:t>
      </w:r>
      <w:r>
        <w:rPr>
          <w:rFonts w:cs="Arial"/>
          <w:szCs w:val="24"/>
        </w:rPr>
        <w:t>modalidades e tipos de contratação; pagamento dos serviços; reajustamento de preços.</w:t>
      </w:r>
    </w:p>
    <w:p w:rsidR="00C8161A" w:rsidRDefault="00C8161A" w:rsidP="00161396">
      <w:pPr>
        <w:spacing w:line="240" w:lineRule="auto"/>
        <w:rPr>
          <w:rFonts w:cs="Arial"/>
          <w:b/>
          <w:szCs w:val="24"/>
        </w:rPr>
      </w:pPr>
    </w:p>
    <w:p w:rsidR="00C8161A" w:rsidRDefault="00C8161A" w:rsidP="00161396">
      <w:pPr>
        <w:spacing w:line="240" w:lineRule="auto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 </w:t>
      </w:r>
      <w:r w:rsidRPr="005D7F28">
        <w:rPr>
          <w:rFonts w:cs="Arial"/>
          <w:b/>
          <w:szCs w:val="24"/>
        </w:rPr>
        <w:t>Licitações e Obras Públicas</w:t>
      </w:r>
      <w:r>
        <w:rPr>
          <w:rFonts w:cs="Arial"/>
          <w:szCs w:val="24"/>
        </w:rPr>
        <w:t>: m</w:t>
      </w:r>
      <w:r w:rsidRPr="005D7F28">
        <w:rPr>
          <w:rFonts w:cs="Arial"/>
          <w:szCs w:val="24"/>
        </w:rPr>
        <w:t>odalidades, princípios, limites</w:t>
      </w:r>
      <w:r>
        <w:rPr>
          <w:rFonts w:cs="Arial"/>
          <w:szCs w:val="24"/>
        </w:rPr>
        <w:t>,</w:t>
      </w:r>
      <w:proofErr w:type="gramStart"/>
      <w:r>
        <w:rPr>
          <w:rFonts w:cs="Arial"/>
          <w:szCs w:val="24"/>
        </w:rPr>
        <w:t xml:space="preserve"> </w:t>
      </w:r>
      <w:r w:rsidRPr="005D7F28">
        <w:rPr>
          <w:rFonts w:cs="Arial"/>
          <w:szCs w:val="24"/>
        </w:rPr>
        <w:t xml:space="preserve"> </w:t>
      </w:r>
      <w:proofErr w:type="gramEnd"/>
      <w:r w:rsidRPr="005D7F28">
        <w:rPr>
          <w:rFonts w:cs="Arial"/>
          <w:szCs w:val="24"/>
        </w:rPr>
        <w:t>tipos</w:t>
      </w:r>
      <w:r>
        <w:rPr>
          <w:rFonts w:cs="Arial"/>
          <w:szCs w:val="24"/>
        </w:rPr>
        <w:t xml:space="preserve"> e fases de licitação; e</w:t>
      </w:r>
      <w:r w:rsidRPr="005D7F28">
        <w:rPr>
          <w:rFonts w:cs="Arial"/>
          <w:szCs w:val="24"/>
        </w:rPr>
        <w:t>ditais, contratos e adi</w:t>
      </w:r>
      <w:r>
        <w:rPr>
          <w:rFonts w:cs="Arial"/>
          <w:szCs w:val="24"/>
        </w:rPr>
        <w:t>tivos; condições para dispensa e i</w:t>
      </w:r>
      <w:r w:rsidRPr="005D7F28">
        <w:rPr>
          <w:rFonts w:cs="Arial"/>
          <w:szCs w:val="24"/>
        </w:rPr>
        <w:t xml:space="preserve">nexigibilidade de </w:t>
      </w:r>
      <w:r>
        <w:rPr>
          <w:rFonts w:cs="Arial"/>
          <w:szCs w:val="24"/>
        </w:rPr>
        <w:t>l</w:t>
      </w:r>
      <w:r w:rsidRPr="005D7F28">
        <w:rPr>
          <w:rFonts w:cs="Arial"/>
          <w:szCs w:val="24"/>
        </w:rPr>
        <w:t>icitação</w:t>
      </w:r>
      <w:r>
        <w:rPr>
          <w:rFonts w:cs="Arial"/>
          <w:szCs w:val="24"/>
        </w:rPr>
        <w:t>; p</w:t>
      </w:r>
      <w:r w:rsidRPr="005D7F28">
        <w:rPr>
          <w:rFonts w:cs="Arial"/>
          <w:szCs w:val="24"/>
        </w:rPr>
        <w:t>regão eletrônico</w:t>
      </w:r>
      <w:r>
        <w:rPr>
          <w:rFonts w:cs="Arial"/>
          <w:szCs w:val="24"/>
        </w:rPr>
        <w:t>; j</w:t>
      </w:r>
      <w:r w:rsidRPr="005D7F28">
        <w:rPr>
          <w:rFonts w:cs="Arial"/>
          <w:szCs w:val="24"/>
        </w:rPr>
        <w:t>ulgamento, habilitação e contratação</w:t>
      </w:r>
      <w:r>
        <w:rPr>
          <w:rFonts w:cs="Arial"/>
          <w:szCs w:val="24"/>
        </w:rPr>
        <w:t>; r</w:t>
      </w:r>
      <w:r w:rsidRPr="005D7F28">
        <w:rPr>
          <w:rFonts w:cs="Arial"/>
          <w:szCs w:val="24"/>
        </w:rPr>
        <w:t>ecursos administrativos</w:t>
      </w:r>
      <w:r>
        <w:rPr>
          <w:rFonts w:cs="Arial"/>
          <w:szCs w:val="24"/>
        </w:rPr>
        <w:t>.</w:t>
      </w:r>
    </w:p>
    <w:p w:rsidR="00C8161A" w:rsidRDefault="00C8161A" w:rsidP="00161396">
      <w:pPr>
        <w:spacing w:line="240" w:lineRule="auto"/>
        <w:rPr>
          <w:rFonts w:cs="Arial"/>
        </w:rPr>
      </w:pPr>
    </w:p>
    <w:p w:rsidR="00C8161A" w:rsidRDefault="00C8161A" w:rsidP="00161396">
      <w:pPr>
        <w:spacing w:line="240" w:lineRule="auto"/>
        <w:rPr>
          <w:rFonts w:cs="Arial"/>
        </w:rPr>
      </w:pPr>
      <w:r w:rsidRPr="00D1239B">
        <w:rPr>
          <w:rFonts w:cs="Arial"/>
          <w:b/>
        </w:rPr>
        <w:t>Qualidade na construção civil</w:t>
      </w:r>
      <w:r>
        <w:rPr>
          <w:rFonts w:cs="Arial"/>
          <w:b/>
        </w:rPr>
        <w:t xml:space="preserve">: </w:t>
      </w:r>
      <w:r w:rsidRPr="00D1239B">
        <w:rPr>
          <w:rFonts w:cs="Arial"/>
        </w:rPr>
        <w:t>ISO 9.000;</w:t>
      </w:r>
      <w:r>
        <w:rPr>
          <w:rFonts w:cs="Arial"/>
        </w:rPr>
        <w:t xml:space="preserve"> </w:t>
      </w:r>
      <w:r w:rsidRPr="00D1239B">
        <w:rPr>
          <w:rFonts w:cs="Arial"/>
        </w:rPr>
        <w:t>certificações;</w:t>
      </w:r>
      <w:r>
        <w:rPr>
          <w:rFonts w:cs="Arial"/>
        </w:rPr>
        <w:t xml:space="preserve"> </w:t>
      </w:r>
      <w:r w:rsidRPr="00D1239B">
        <w:rPr>
          <w:rFonts w:cs="Arial"/>
        </w:rPr>
        <w:t>ciclo PDCA;</w:t>
      </w:r>
      <w:r>
        <w:rPr>
          <w:rFonts w:cs="Arial"/>
        </w:rPr>
        <w:t xml:space="preserve"> </w:t>
      </w:r>
      <w:r w:rsidRPr="00D1239B">
        <w:rPr>
          <w:rFonts w:cs="Arial"/>
        </w:rPr>
        <w:t>qualidade nos canteiros de obra;</w:t>
      </w:r>
      <w:r>
        <w:rPr>
          <w:rFonts w:cs="Arial"/>
        </w:rPr>
        <w:t xml:space="preserve"> </w:t>
      </w:r>
      <w:r w:rsidRPr="00D1239B">
        <w:rPr>
          <w:rFonts w:cs="Arial"/>
        </w:rPr>
        <w:t>controle de produção;</w:t>
      </w:r>
      <w:r>
        <w:rPr>
          <w:rFonts w:cs="Arial"/>
        </w:rPr>
        <w:t xml:space="preserve"> </w:t>
      </w:r>
      <w:r w:rsidRPr="00D1239B">
        <w:rPr>
          <w:rFonts w:cs="Arial"/>
        </w:rPr>
        <w:t>controle de produtividade;</w:t>
      </w:r>
      <w:r>
        <w:rPr>
          <w:rFonts w:cs="Arial"/>
        </w:rPr>
        <w:t xml:space="preserve"> </w:t>
      </w:r>
      <w:r w:rsidRPr="00D1239B">
        <w:rPr>
          <w:rFonts w:cs="Arial"/>
        </w:rPr>
        <w:t>indicadores de produtividade;</w:t>
      </w:r>
      <w:r>
        <w:rPr>
          <w:rFonts w:cs="Arial"/>
        </w:rPr>
        <w:t xml:space="preserve"> </w:t>
      </w:r>
      <w:proofErr w:type="gramStart"/>
      <w:r>
        <w:rPr>
          <w:rFonts w:cs="Arial"/>
        </w:rPr>
        <w:t>não-conformidades</w:t>
      </w:r>
      <w:proofErr w:type="gramEnd"/>
      <w:r>
        <w:rPr>
          <w:rFonts w:cs="Arial"/>
        </w:rPr>
        <w:t>.</w:t>
      </w:r>
    </w:p>
    <w:p w:rsidR="00C8161A" w:rsidRDefault="00C8161A" w:rsidP="00161396">
      <w:pPr>
        <w:spacing w:line="240" w:lineRule="auto"/>
        <w:rPr>
          <w:rFonts w:cs="Arial"/>
        </w:rPr>
      </w:pPr>
    </w:p>
    <w:p w:rsidR="00C8161A" w:rsidRDefault="00C8161A" w:rsidP="00161396">
      <w:pPr>
        <w:spacing w:line="240" w:lineRule="auto"/>
        <w:rPr>
          <w:rFonts w:cs="Arial"/>
          <w:szCs w:val="24"/>
        </w:rPr>
      </w:pPr>
      <w:r>
        <w:rPr>
          <w:rFonts w:cs="Arial"/>
          <w:b/>
          <w:szCs w:val="24"/>
        </w:rPr>
        <w:t>Segurança,</w:t>
      </w:r>
      <w:r w:rsidRPr="00C121EA">
        <w:rPr>
          <w:rFonts w:cs="Arial"/>
          <w:b/>
          <w:szCs w:val="24"/>
        </w:rPr>
        <w:t xml:space="preserve"> manutenção</w:t>
      </w:r>
      <w:r>
        <w:rPr>
          <w:rFonts w:cs="Arial"/>
          <w:b/>
          <w:szCs w:val="24"/>
        </w:rPr>
        <w:t xml:space="preserve"> e inspeção</w:t>
      </w:r>
      <w:r w:rsidRPr="00C121EA">
        <w:rPr>
          <w:rFonts w:cs="Arial"/>
          <w:b/>
          <w:szCs w:val="24"/>
        </w:rPr>
        <w:t xml:space="preserve"> predial</w:t>
      </w:r>
      <w:r>
        <w:rPr>
          <w:rFonts w:cs="Arial"/>
          <w:b/>
          <w:szCs w:val="24"/>
        </w:rPr>
        <w:t xml:space="preserve">: </w:t>
      </w:r>
      <w:r>
        <w:rPr>
          <w:rFonts w:cs="Arial"/>
          <w:szCs w:val="24"/>
        </w:rPr>
        <w:t>conceito de manutenção; operação e manutenção predial;</w:t>
      </w:r>
      <w:r w:rsidR="001F11F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tipos de manutenção;</w:t>
      </w:r>
      <w:r w:rsidR="001F11F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planejamento e custos da manutenção;</w:t>
      </w:r>
      <w:r w:rsidR="001F11F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níveis de inspeção;</w:t>
      </w:r>
      <w:r w:rsidR="001F11F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periodicidade da inspeção;</w:t>
      </w:r>
      <w:r w:rsidR="001F11F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documentação;</w:t>
      </w:r>
      <w:r w:rsidR="001F11F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vistoria preliminar;</w:t>
      </w:r>
      <w:r w:rsidR="001F11F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inspeção;</w:t>
      </w:r>
      <w:r w:rsidR="001F11F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condições de </w:t>
      </w:r>
      <w:proofErr w:type="spellStart"/>
      <w:proofErr w:type="gramStart"/>
      <w:r>
        <w:rPr>
          <w:rFonts w:cs="Arial"/>
          <w:szCs w:val="24"/>
        </w:rPr>
        <w:t>operação,</w:t>
      </w:r>
      <w:proofErr w:type="gramEnd"/>
      <w:r>
        <w:rPr>
          <w:rFonts w:cs="Arial"/>
          <w:szCs w:val="24"/>
        </w:rPr>
        <w:t>uso</w:t>
      </w:r>
      <w:proofErr w:type="spellEnd"/>
      <w:r>
        <w:rPr>
          <w:rFonts w:cs="Arial"/>
          <w:szCs w:val="24"/>
        </w:rPr>
        <w:t xml:space="preserve"> e manutenção;</w:t>
      </w:r>
      <w:r w:rsidR="001F11F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análise dos resultados;</w:t>
      </w:r>
      <w:r w:rsidR="001F11F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anomalias e falhas;</w:t>
      </w:r>
      <w:r w:rsidR="001F11F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graus de risco;</w:t>
      </w:r>
      <w:r w:rsidR="001F11F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indicadores de </w:t>
      </w:r>
      <w:proofErr w:type="spellStart"/>
      <w:r>
        <w:rPr>
          <w:rFonts w:cs="Arial"/>
          <w:szCs w:val="24"/>
        </w:rPr>
        <w:t>perfomance</w:t>
      </w:r>
      <w:proofErr w:type="spellEnd"/>
      <w:r>
        <w:rPr>
          <w:rFonts w:cs="Arial"/>
          <w:szCs w:val="24"/>
        </w:rPr>
        <w:t>;</w:t>
      </w:r>
      <w:r w:rsidR="001F11FA">
        <w:rPr>
          <w:rFonts w:cs="Arial"/>
          <w:szCs w:val="24"/>
        </w:rPr>
        <w:t xml:space="preserve"> laudos de inspeção.</w:t>
      </w:r>
    </w:p>
    <w:p w:rsidR="001F11FA" w:rsidRDefault="001F11FA" w:rsidP="00161396">
      <w:pPr>
        <w:spacing w:line="240" w:lineRule="auto"/>
        <w:rPr>
          <w:rFonts w:cs="Arial"/>
          <w:szCs w:val="24"/>
        </w:rPr>
      </w:pPr>
    </w:p>
    <w:p w:rsidR="001F11FA" w:rsidRPr="00FE489E" w:rsidRDefault="001F11FA" w:rsidP="00161396">
      <w:pPr>
        <w:spacing w:line="240" w:lineRule="auto"/>
        <w:rPr>
          <w:rFonts w:cs="Arial"/>
        </w:rPr>
      </w:pPr>
      <w:r w:rsidRPr="00FE489E">
        <w:rPr>
          <w:rFonts w:cs="Arial"/>
          <w:b/>
        </w:rPr>
        <w:t>Sustentabilidade na construção civil</w:t>
      </w:r>
      <w:r>
        <w:rPr>
          <w:rFonts w:cs="Arial"/>
          <w:b/>
        </w:rPr>
        <w:t xml:space="preserve">: </w:t>
      </w:r>
      <w:r w:rsidRPr="00FE489E">
        <w:rPr>
          <w:rFonts w:cs="Arial"/>
        </w:rPr>
        <w:t>conceitos;</w:t>
      </w:r>
      <w:r>
        <w:rPr>
          <w:rFonts w:cs="Arial"/>
        </w:rPr>
        <w:t xml:space="preserve"> </w:t>
      </w:r>
      <w:r w:rsidRPr="00FE489E">
        <w:rPr>
          <w:rFonts w:cs="Arial"/>
        </w:rPr>
        <w:t>aplicações;</w:t>
      </w:r>
      <w:r>
        <w:rPr>
          <w:rFonts w:cs="Arial"/>
        </w:rPr>
        <w:t xml:space="preserve"> </w:t>
      </w:r>
      <w:r w:rsidRPr="00FE489E">
        <w:rPr>
          <w:rFonts w:cs="Arial"/>
        </w:rPr>
        <w:t>selos verdes;</w:t>
      </w:r>
    </w:p>
    <w:p w:rsidR="001F11FA" w:rsidRDefault="001F11FA" w:rsidP="00161396">
      <w:pPr>
        <w:spacing w:line="240" w:lineRule="auto"/>
        <w:rPr>
          <w:rFonts w:cs="Arial"/>
          <w:color w:val="000000"/>
        </w:rPr>
      </w:pPr>
      <w:proofErr w:type="gramStart"/>
      <w:r w:rsidRPr="00FE489E">
        <w:rPr>
          <w:rFonts w:cs="Arial"/>
          <w:color w:val="000000"/>
        </w:rPr>
        <w:t>eficiência</w:t>
      </w:r>
      <w:proofErr w:type="gramEnd"/>
      <w:r w:rsidRPr="00FE489E">
        <w:rPr>
          <w:rFonts w:cs="Arial"/>
          <w:color w:val="000000"/>
        </w:rPr>
        <w:t xml:space="preserve"> energética nas edificações: conceitos, normas e legislação</w:t>
      </w:r>
      <w:r>
        <w:rPr>
          <w:rFonts w:cs="Arial"/>
          <w:color w:val="000000"/>
        </w:rPr>
        <w:t>.</w:t>
      </w:r>
    </w:p>
    <w:p w:rsidR="001F11FA" w:rsidRDefault="001F11FA" w:rsidP="00161396">
      <w:pPr>
        <w:spacing w:line="240" w:lineRule="auto"/>
        <w:rPr>
          <w:rFonts w:cs="Arial"/>
          <w:color w:val="000000"/>
        </w:rPr>
      </w:pPr>
    </w:p>
    <w:p w:rsidR="001F11FA" w:rsidRDefault="001F11FA" w:rsidP="00161396">
      <w:pPr>
        <w:spacing w:line="240" w:lineRule="auto"/>
        <w:rPr>
          <w:rFonts w:cs="Arial"/>
        </w:rPr>
      </w:pPr>
      <w:r w:rsidRPr="00D1239B">
        <w:rPr>
          <w:rFonts w:cs="Arial"/>
          <w:b/>
        </w:rPr>
        <w:t>Acessibilidade nas construções</w:t>
      </w:r>
      <w:r>
        <w:rPr>
          <w:rFonts w:cs="Arial"/>
          <w:b/>
        </w:rPr>
        <w:t xml:space="preserve">: </w:t>
      </w:r>
      <w:r w:rsidRPr="00D1239B">
        <w:rPr>
          <w:rFonts w:cs="Arial"/>
        </w:rPr>
        <w:t>acessibilidade a edificações, mobiliário, espaços e equipamentos urbanos;</w:t>
      </w:r>
      <w:r>
        <w:rPr>
          <w:rFonts w:cs="Arial"/>
        </w:rPr>
        <w:t xml:space="preserve"> </w:t>
      </w:r>
      <w:r w:rsidRPr="00D1239B">
        <w:rPr>
          <w:rFonts w:cs="Arial"/>
        </w:rPr>
        <w:t>dimensionamento e projeto para portadores de necessidades especiais;</w:t>
      </w:r>
      <w:r>
        <w:rPr>
          <w:rFonts w:cs="Arial"/>
        </w:rPr>
        <w:t xml:space="preserve"> legislação de acessibilidade.</w:t>
      </w:r>
    </w:p>
    <w:p w:rsidR="00055E0C" w:rsidRDefault="00055E0C" w:rsidP="00161396">
      <w:pPr>
        <w:spacing w:line="240" w:lineRule="auto"/>
        <w:rPr>
          <w:rFonts w:cs="Arial"/>
        </w:rPr>
      </w:pPr>
    </w:p>
    <w:p w:rsidR="00055E0C" w:rsidRDefault="00055E0C" w:rsidP="00161396">
      <w:pPr>
        <w:spacing w:line="240" w:lineRule="auto"/>
        <w:rPr>
          <w:rFonts w:cs="Arial"/>
          <w:b/>
        </w:rPr>
      </w:pPr>
      <w:r w:rsidRPr="00055E0C">
        <w:rPr>
          <w:rFonts w:cs="Arial"/>
          <w:b/>
        </w:rPr>
        <w:t>Normas técnicas da ABNT</w:t>
      </w:r>
    </w:p>
    <w:p w:rsidR="00055E0C" w:rsidRPr="00055E0C" w:rsidRDefault="00055E0C" w:rsidP="00161396">
      <w:pPr>
        <w:spacing w:line="240" w:lineRule="auto"/>
        <w:rPr>
          <w:rFonts w:cs="Arial"/>
          <w:b/>
        </w:rPr>
      </w:pPr>
    </w:p>
    <w:p w:rsidR="00055E0C" w:rsidRPr="00055E0C" w:rsidRDefault="00055E0C" w:rsidP="00161396">
      <w:pPr>
        <w:spacing w:line="240" w:lineRule="auto"/>
        <w:rPr>
          <w:rFonts w:cs="Arial"/>
          <w:b/>
        </w:rPr>
      </w:pPr>
      <w:r w:rsidRPr="00055E0C">
        <w:rPr>
          <w:rFonts w:cs="Arial"/>
          <w:b/>
        </w:rPr>
        <w:t>Legislações pertinentes e vigentes</w:t>
      </w:r>
    </w:p>
    <w:sectPr w:rsidR="00055E0C" w:rsidRPr="00055E0C" w:rsidSect="00161396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71167"/>
    <w:multiLevelType w:val="multilevel"/>
    <w:tmpl w:val="CD340304"/>
    <w:styleLink w:val="Estilo2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0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hanging="340"/>
      </w:pPr>
      <w:rPr>
        <w:rFonts w:hint="default"/>
      </w:rPr>
    </w:lvl>
  </w:abstractNum>
  <w:abstractNum w:abstractNumId="1">
    <w:nsid w:val="0DED7971"/>
    <w:multiLevelType w:val="multilevel"/>
    <w:tmpl w:val="65AE3614"/>
    <w:name w:val="TESE PY"/>
    <w:styleLink w:val="LISTATESEPY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hint="default"/>
        <w:b/>
        <w:sz w:val="24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2">
    <w:nsid w:val="29E871BE"/>
    <w:multiLevelType w:val="multilevel"/>
    <w:tmpl w:val="E022FCC2"/>
    <w:styleLink w:val="Estilo3"/>
    <w:lvl w:ilvl="0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1D01B2"/>
    <w:multiLevelType w:val="multilevel"/>
    <w:tmpl w:val="547453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ubttul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</w:num>
  <w:num w:numId="5">
    <w:abstractNumId w:val="1"/>
  </w:num>
  <w:num w:numId="6">
    <w:abstractNumId w:val="3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7AE"/>
    <w:rsid w:val="00000806"/>
    <w:rsid w:val="0001515B"/>
    <w:rsid w:val="00055E0C"/>
    <w:rsid w:val="00062576"/>
    <w:rsid w:val="000A11B8"/>
    <w:rsid w:val="0010657C"/>
    <w:rsid w:val="0012549E"/>
    <w:rsid w:val="0015694E"/>
    <w:rsid w:val="00161396"/>
    <w:rsid w:val="001E1DB2"/>
    <w:rsid w:val="001F11FA"/>
    <w:rsid w:val="002078DA"/>
    <w:rsid w:val="002110B3"/>
    <w:rsid w:val="002A24E6"/>
    <w:rsid w:val="002C31BD"/>
    <w:rsid w:val="0035656A"/>
    <w:rsid w:val="00356728"/>
    <w:rsid w:val="0037499C"/>
    <w:rsid w:val="003C4DFA"/>
    <w:rsid w:val="003F303E"/>
    <w:rsid w:val="00437204"/>
    <w:rsid w:val="00516E20"/>
    <w:rsid w:val="0055646D"/>
    <w:rsid w:val="005B3E7D"/>
    <w:rsid w:val="00633C98"/>
    <w:rsid w:val="006935D4"/>
    <w:rsid w:val="007934CE"/>
    <w:rsid w:val="007B126C"/>
    <w:rsid w:val="007C2B73"/>
    <w:rsid w:val="008444E7"/>
    <w:rsid w:val="008A5437"/>
    <w:rsid w:val="008E0F0F"/>
    <w:rsid w:val="00934DE1"/>
    <w:rsid w:val="00935921"/>
    <w:rsid w:val="00940916"/>
    <w:rsid w:val="00954960"/>
    <w:rsid w:val="00955C07"/>
    <w:rsid w:val="009A35DA"/>
    <w:rsid w:val="009E29F3"/>
    <w:rsid w:val="009F0A88"/>
    <w:rsid w:val="00A21292"/>
    <w:rsid w:val="00A35CA6"/>
    <w:rsid w:val="00AF5FF2"/>
    <w:rsid w:val="00B57AC0"/>
    <w:rsid w:val="00B678FB"/>
    <w:rsid w:val="00B77E1D"/>
    <w:rsid w:val="00B8718F"/>
    <w:rsid w:val="00BB53A3"/>
    <w:rsid w:val="00BE79BA"/>
    <w:rsid w:val="00BF515A"/>
    <w:rsid w:val="00C01A3E"/>
    <w:rsid w:val="00C058CE"/>
    <w:rsid w:val="00C219CA"/>
    <w:rsid w:val="00C8161A"/>
    <w:rsid w:val="00CC6C3C"/>
    <w:rsid w:val="00CF67AE"/>
    <w:rsid w:val="00D14D5F"/>
    <w:rsid w:val="00D52547"/>
    <w:rsid w:val="00DD066C"/>
    <w:rsid w:val="00E211B3"/>
    <w:rsid w:val="00E6621A"/>
    <w:rsid w:val="00F2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orpo do texto"/>
    <w:qFormat/>
    <w:rsid w:val="0012549E"/>
    <w:pPr>
      <w:suppressAutoHyphens/>
      <w:spacing w:line="360" w:lineRule="auto"/>
      <w:ind w:left="0" w:firstLine="0"/>
    </w:pPr>
    <w:rPr>
      <w:rFonts w:ascii="Arial" w:hAnsi="Arial"/>
      <w:sz w:val="24"/>
    </w:rPr>
  </w:style>
  <w:style w:type="paragraph" w:styleId="Ttulo1">
    <w:name w:val="heading 1"/>
    <w:aliases w:val="Título N"/>
    <w:basedOn w:val="Normal"/>
    <w:next w:val="Normal"/>
    <w:link w:val="Ttulo1Char"/>
    <w:uiPriority w:val="9"/>
    <w:qFormat/>
    <w:rsid w:val="0012549E"/>
    <w:pPr>
      <w:keepNext/>
      <w:keepLines/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12549E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2549E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12549E"/>
    <w:pPr>
      <w:keepNext/>
      <w:keepLines/>
      <w:outlineLvl w:val="3"/>
    </w:pPr>
    <w:rPr>
      <w:rFonts w:eastAsiaTheme="majorEastAsia" w:cstheme="majorBidi"/>
      <w:b/>
      <w:bCs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Estilo3">
    <w:name w:val="Estilo3"/>
    <w:uiPriority w:val="99"/>
    <w:rsid w:val="00934DE1"/>
    <w:pPr>
      <w:numPr>
        <w:numId w:val="1"/>
      </w:numPr>
    </w:pPr>
  </w:style>
  <w:style w:type="character" w:customStyle="1" w:styleId="apple-style-span">
    <w:name w:val="apple-style-span"/>
    <w:basedOn w:val="Fontepargpadro"/>
    <w:rsid w:val="00E211B3"/>
  </w:style>
  <w:style w:type="numbering" w:customStyle="1" w:styleId="Estilo2">
    <w:name w:val="Estilo2"/>
    <w:uiPriority w:val="99"/>
    <w:rsid w:val="00633C98"/>
    <w:pPr>
      <w:numPr>
        <w:numId w:val="2"/>
      </w:numPr>
    </w:pPr>
  </w:style>
  <w:style w:type="paragraph" w:customStyle="1" w:styleId="Prrafodelista1">
    <w:name w:val="Párrafo de lista1"/>
    <w:basedOn w:val="Normal"/>
    <w:uiPriority w:val="34"/>
    <w:qFormat/>
    <w:rsid w:val="0012549E"/>
    <w:rPr>
      <w:szCs w:val="24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12549E"/>
    <w:pPr>
      <w:tabs>
        <w:tab w:val="left" w:pos="3969"/>
        <w:tab w:val="left" w:pos="5670"/>
      </w:tabs>
      <w:spacing w:line="240" w:lineRule="auto"/>
      <w:ind w:left="3969"/>
    </w:pPr>
    <w:rPr>
      <w:iCs/>
      <w:color w:val="000000" w:themeColor="text1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2549E"/>
    <w:rPr>
      <w:rFonts w:ascii="Arial" w:hAnsi="Arial"/>
      <w:iCs/>
      <w:color w:val="000000" w:themeColor="text1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12549E"/>
    <w:rPr>
      <w:rFonts w:ascii="Arial" w:eastAsiaTheme="majorEastAsia" w:hAnsi="Arial" w:cstheme="majorBidi"/>
      <w:b/>
      <w:bCs/>
      <w:sz w:val="24"/>
      <w:szCs w:val="26"/>
    </w:rPr>
  </w:style>
  <w:style w:type="character" w:styleId="nfaseSutil">
    <w:name w:val="Subtle Emphasis"/>
    <w:aliases w:val="legenda"/>
    <w:uiPriority w:val="19"/>
    <w:qFormat/>
    <w:rsid w:val="0012549E"/>
    <w:rPr>
      <w:rFonts w:ascii="Arial" w:hAnsi="Arial"/>
      <w:iCs/>
      <w:dstrike w:val="0"/>
      <w:color w:val="auto"/>
      <w:sz w:val="22"/>
      <w:vertAlign w:val="baseline"/>
    </w:rPr>
  </w:style>
  <w:style w:type="paragraph" w:styleId="Subttulo">
    <w:name w:val="Subtitle"/>
    <w:aliases w:val="Título N.n"/>
    <w:basedOn w:val="Normal"/>
    <w:next w:val="Normal"/>
    <w:link w:val="SubttuloChar"/>
    <w:qFormat/>
    <w:rsid w:val="0012549E"/>
    <w:pPr>
      <w:numPr>
        <w:ilvl w:val="1"/>
        <w:numId w:val="7"/>
      </w:numPr>
    </w:pPr>
    <w:rPr>
      <w:rFonts w:eastAsiaTheme="majorEastAsia" w:cstheme="majorBidi"/>
      <w:b/>
      <w:iCs/>
      <w:spacing w:val="15"/>
      <w:szCs w:val="24"/>
    </w:rPr>
  </w:style>
  <w:style w:type="character" w:customStyle="1" w:styleId="SubttuloChar">
    <w:name w:val="Subtítulo Char"/>
    <w:aliases w:val="Título N.n Char"/>
    <w:basedOn w:val="Fontepargpadro"/>
    <w:link w:val="Subttulo"/>
    <w:rsid w:val="0012549E"/>
    <w:rPr>
      <w:rFonts w:ascii="Arial" w:eastAsiaTheme="majorEastAsia" w:hAnsi="Arial" w:cstheme="majorBidi"/>
      <w:b/>
      <w:iCs/>
      <w:spacing w:val="15"/>
      <w:sz w:val="24"/>
      <w:szCs w:val="24"/>
    </w:rPr>
  </w:style>
  <w:style w:type="character" w:customStyle="1" w:styleId="Ttulo1Char">
    <w:name w:val="Título 1 Char"/>
    <w:aliases w:val="Título N Char"/>
    <w:basedOn w:val="Fontepargpadro"/>
    <w:link w:val="Ttulo1"/>
    <w:uiPriority w:val="9"/>
    <w:rsid w:val="0012549E"/>
    <w:rPr>
      <w:rFonts w:ascii="Arial" w:eastAsiaTheme="majorEastAsia" w:hAnsi="Arial" w:cstheme="majorBidi"/>
      <w:b/>
      <w:bCs/>
      <w:cap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12549E"/>
    <w:rPr>
      <w:rFonts w:ascii="Arial" w:eastAsiaTheme="majorEastAsia" w:hAnsi="Arial" w:cstheme="majorBidi"/>
      <w:b/>
      <w:bCs/>
      <w:sz w:val="24"/>
    </w:rPr>
  </w:style>
  <w:style w:type="character" w:customStyle="1" w:styleId="Ttulo4Char">
    <w:name w:val="Título 4 Char"/>
    <w:basedOn w:val="Fontepargpadro"/>
    <w:link w:val="Ttulo4"/>
    <w:uiPriority w:val="9"/>
    <w:rsid w:val="0012549E"/>
    <w:rPr>
      <w:rFonts w:ascii="Arial" w:eastAsiaTheme="majorEastAsia" w:hAnsi="Arial" w:cstheme="majorBidi"/>
      <w:b/>
      <w:bCs/>
      <w:iCs/>
      <w:sz w:val="24"/>
    </w:rPr>
  </w:style>
  <w:style w:type="numbering" w:customStyle="1" w:styleId="LISTATESEPY">
    <w:name w:val="LISTA TESE PY"/>
    <w:uiPriority w:val="99"/>
    <w:rsid w:val="00F210E3"/>
    <w:pPr>
      <w:numPr>
        <w:numId w:val="5"/>
      </w:numPr>
    </w:pPr>
  </w:style>
  <w:style w:type="paragraph" w:styleId="Ttulo">
    <w:name w:val="Title"/>
    <w:aliases w:val="Título central"/>
    <w:basedOn w:val="Normal"/>
    <w:next w:val="Normal"/>
    <w:link w:val="TtuloChar"/>
    <w:uiPriority w:val="10"/>
    <w:qFormat/>
    <w:rsid w:val="0012549E"/>
    <w:pPr>
      <w:contextualSpacing/>
      <w:jc w:val="center"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tuloChar">
    <w:name w:val="Título Char"/>
    <w:aliases w:val="Título central Char"/>
    <w:basedOn w:val="Fontepargpadro"/>
    <w:link w:val="Ttulo"/>
    <w:uiPriority w:val="10"/>
    <w:rsid w:val="0012549E"/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2549E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aliases w:val="capa"/>
    <w:basedOn w:val="Fontepargpadro"/>
    <w:uiPriority w:val="22"/>
    <w:qFormat/>
    <w:rsid w:val="0012549E"/>
    <w:rPr>
      <w:b/>
      <w:bCs/>
    </w:rPr>
  </w:style>
  <w:style w:type="character" w:styleId="nfase">
    <w:name w:val="Emphasis"/>
    <w:uiPriority w:val="20"/>
    <w:qFormat/>
    <w:rsid w:val="0012549E"/>
    <w:rPr>
      <w:i/>
      <w:iCs/>
    </w:rPr>
  </w:style>
  <w:style w:type="paragraph" w:styleId="SemEspaamento">
    <w:name w:val="No Spacing"/>
    <w:aliases w:val="Título N.n.n"/>
    <w:uiPriority w:val="1"/>
    <w:qFormat/>
    <w:rsid w:val="0012549E"/>
    <w:pPr>
      <w:suppressAutoHyphens/>
      <w:spacing w:line="240" w:lineRule="auto"/>
      <w:ind w:left="0" w:firstLine="0"/>
    </w:pPr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1254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orpo do texto"/>
    <w:qFormat/>
    <w:rsid w:val="0012549E"/>
    <w:pPr>
      <w:suppressAutoHyphens/>
      <w:spacing w:line="360" w:lineRule="auto"/>
      <w:ind w:left="0" w:firstLine="0"/>
    </w:pPr>
    <w:rPr>
      <w:rFonts w:ascii="Arial" w:hAnsi="Arial"/>
      <w:sz w:val="24"/>
    </w:rPr>
  </w:style>
  <w:style w:type="paragraph" w:styleId="Ttulo1">
    <w:name w:val="heading 1"/>
    <w:aliases w:val="Título N"/>
    <w:basedOn w:val="Normal"/>
    <w:next w:val="Normal"/>
    <w:link w:val="Ttulo1Char"/>
    <w:uiPriority w:val="9"/>
    <w:qFormat/>
    <w:rsid w:val="0012549E"/>
    <w:pPr>
      <w:keepNext/>
      <w:keepLines/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12549E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2549E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12549E"/>
    <w:pPr>
      <w:keepNext/>
      <w:keepLines/>
      <w:outlineLvl w:val="3"/>
    </w:pPr>
    <w:rPr>
      <w:rFonts w:eastAsiaTheme="majorEastAsia" w:cstheme="majorBidi"/>
      <w:b/>
      <w:bCs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Estilo3">
    <w:name w:val="Estilo3"/>
    <w:uiPriority w:val="99"/>
    <w:rsid w:val="00934DE1"/>
    <w:pPr>
      <w:numPr>
        <w:numId w:val="1"/>
      </w:numPr>
    </w:pPr>
  </w:style>
  <w:style w:type="character" w:customStyle="1" w:styleId="apple-style-span">
    <w:name w:val="apple-style-span"/>
    <w:basedOn w:val="Fontepargpadro"/>
    <w:rsid w:val="00E211B3"/>
  </w:style>
  <w:style w:type="numbering" w:customStyle="1" w:styleId="Estilo2">
    <w:name w:val="Estilo2"/>
    <w:uiPriority w:val="99"/>
    <w:rsid w:val="00633C98"/>
    <w:pPr>
      <w:numPr>
        <w:numId w:val="2"/>
      </w:numPr>
    </w:pPr>
  </w:style>
  <w:style w:type="paragraph" w:customStyle="1" w:styleId="Prrafodelista1">
    <w:name w:val="Párrafo de lista1"/>
    <w:basedOn w:val="Normal"/>
    <w:uiPriority w:val="34"/>
    <w:qFormat/>
    <w:rsid w:val="0012549E"/>
    <w:rPr>
      <w:szCs w:val="24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12549E"/>
    <w:pPr>
      <w:tabs>
        <w:tab w:val="left" w:pos="3969"/>
        <w:tab w:val="left" w:pos="5670"/>
      </w:tabs>
      <w:spacing w:line="240" w:lineRule="auto"/>
      <w:ind w:left="3969"/>
    </w:pPr>
    <w:rPr>
      <w:iCs/>
      <w:color w:val="000000" w:themeColor="text1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2549E"/>
    <w:rPr>
      <w:rFonts w:ascii="Arial" w:hAnsi="Arial"/>
      <w:iCs/>
      <w:color w:val="000000" w:themeColor="text1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12549E"/>
    <w:rPr>
      <w:rFonts w:ascii="Arial" w:eastAsiaTheme="majorEastAsia" w:hAnsi="Arial" w:cstheme="majorBidi"/>
      <w:b/>
      <w:bCs/>
      <w:sz w:val="24"/>
      <w:szCs w:val="26"/>
    </w:rPr>
  </w:style>
  <w:style w:type="character" w:styleId="nfaseSutil">
    <w:name w:val="Subtle Emphasis"/>
    <w:aliases w:val="legenda"/>
    <w:uiPriority w:val="19"/>
    <w:qFormat/>
    <w:rsid w:val="0012549E"/>
    <w:rPr>
      <w:rFonts w:ascii="Arial" w:hAnsi="Arial"/>
      <w:iCs/>
      <w:dstrike w:val="0"/>
      <w:color w:val="auto"/>
      <w:sz w:val="22"/>
      <w:vertAlign w:val="baseline"/>
    </w:rPr>
  </w:style>
  <w:style w:type="paragraph" w:styleId="Subttulo">
    <w:name w:val="Subtitle"/>
    <w:aliases w:val="Título N.n"/>
    <w:basedOn w:val="Normal"/>
    <w:next w:val="Normal"/>
    <w:link w:val="SubttuloChar"/>
    <w:qFormat/>
    <w:rsid w:val="0012549E"/>
    <w:pPr>
      <w:numPr>
        <w:ilvl w:val="1"/>
        <w:numId w:val="7"/>
      </w:numPr>
    </w:pPr>
    <w:rPr>
      <w:rFonts w:eastAsiaTheme="majorEastAsia" w:cstheme="majorBidi"/>
      <w:b/>
      <w:iCs/>
      <w:spacing w:val="15"/>
      <w:szCs w:val="24"/>
    </w:rPr>
  </w:style>
  <w:style w:type="character" w:customStyle="1" w:styleId="SubttuloChar">
    <w:name w:val="Subtítulo Char"/>
    <w:aliases w:val="Título N.n Char"/>
    <w:basedOn w:val="Fontepargpadro"/>
    <w:link w:val="Subttulo"/>
    <w:rsid w:val="0012549E"/>
    <w:rPr>
      <w:rFonts w:ascii="Arial" w:eastAsiaTheme="majorEastAsia" w:hAnsi="Arial" w:cstheme="majorBidi"/>
      <w:b/>
      <w:iCs/>
      <w:spacing w:val="15"/>
      <w:sz w:val="24"/>
      <w:szCs w:val="24"/>
    </w:rPr>
  </w:style>
  <w:style w:type="character" w:customStyle="1" w:styleId="Ttulo1Char">
    <w:name w:val="Título 1 Char"/>
    <w:aliases w:val="Título N Char"/>
    <w:basedOn w:val="Fontepargpadro"/>
    <w:link w:val="Ttulo1"/>
    <w:uiPriority w:val="9"/>
    <w:rsid w:val="0012549E"/>
    <w:rPr>
      <w:rFonts w:ascii="Arial" w:eastAsiaTheme="majorEastAsia" w:hAnsi="Arial" w:cstheme="majorBidi"/>
      <w:b/>
      <w:bCs/>
      <w:cap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12549E"/>
    <w:rPr>
      <w:rFonts w:ascii="Arial" w:eastAsiaTheme="majorEastAsia" w:hAnsi="Arial" w:cstheme="majorBidi"/>
      <w:b/>
      <w:bCs/>
      <w:sz w:val="24"/>
    </w:rPr>
  </w:style>
  <w:style w:type="character" w:customStyle="1" w:styleId="Ttulo4Char">
    <w:name w:val="Título 4 Char"/>
    <w:basedOn w:val="Fontepargpadro"/>
    <w:link w:val="Ttulo4"/>
    <w:uiPriority w:val="9"/>
    <w:rsid w:val="0012549E"/>
    <w:rPr>
      <w:rFonts w:ascii="Arial" w:eastAsiaTheme="majorEastAsia" w:hAnsi="Arial" w:cstheme="majorBidi"/>
      <w:b/>
      <w:bCs/>
      <w:iCs/>
      <w:sz w:val="24"/>
    </w:rPr>
  </w:style>
  <w:style w:type="numbering" w:customStyle="1" w:styleId="LISTATESEPY">
    <w:name w:val="LISTA TESE PY"/>
    <w:uiPriority w:val="99"/>
    <w:rsid w:val="00F210E3"/>
    <w:pPr>
      <w:numPr>
        <w:numId w:val="5"/>
      </w:numPr>
    </w:pPr>
  </w:style>
  <w:style w:type="paragraph" w:styleId="Ttulo">
    <w:name w:val="Title"/>
    <w:aliases w:val="Título central"/>
    <w:basedOn w:val="Normal"/>
    <w:next w:val="Normal"/>
    <w:link w:val="TtuloChar"/>
    <w:uiPriority w:val="10"/>
    <w:qFormat/>
    <w:rsid w:val="0012549E"/>
    <w:pPr>
      <w:contextualSpacing/>
      <w:jc w:val="center"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tuloChar">
    <w:name w:val="Título Char"/>
    <w:aliases w:val="Título central Char"/>
    <w:basedOn w:val="Fontepargpadro"/>
    <w:link w:val="Ttulo"/>
    <w:uiPriority w:val="10"/>
    <w:rsid w:val="0012549E"/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2549E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aliases w:val="capa"/>
    <w:basedOn w:val="Fontepargpadro"/>
    <w:uiPriority w:val="22"/>
    <w:qFormat/>
    <w:rsid w:val="0012549E"/>
    <w:rPr>
      <w:b/>
      <w:bCs/>
    </w:rPr>
  </w:style>
  <w:style w:type="character" w:styleId="nfase">
    <w:name w:val="Emphasis"/>
    <w:uiPriority w:val="20"/>
    <w:qFormat/>
    <w:rsid w:val="0012549E"/>
    <w:rPr>
      <w:i/>
      <w:iCs/>
    </w:rPr>
  </w:style>
  <w:style w:type="paragraph" w:styleId="SemEspaamento">
    <w:name w:val="No Spacing"/>
    <w:aliases w:val="Título N.n.n"/>
    <w:uiPriority w:val="1"/>
    <w:qFormat/>
    <w:rsid w:val="0012549E"/>
    <w:pPr>
      <w:suppressAutoHyphens/>
      <w:spacing w:line="240" w:lineRule="auto"/>
      <w:ind w:left="0" w:firstLine="0"/>
    </w:pPr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125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1188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MUSSI</dc:creator>
  <cp:lastModifiedBy>Laranjeira</cp:lastModifiedBy>
  <cp:revision>3</cp:revision>
  <dcterms:created xsi:type="dcterms:W3CDTF">2014-03-31T18:17:00Z</dcterms:created>
  <dcterms:modified xsi:type="dcterms:W3CDTF">2014-04-01T17:32:00Z</dcterms:modified>
</cp:coreProperties>
</file>